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55C7" w14:textId="77777777" w:rsidR="00446671" w:rsidRDefault="0065406B">
      <w:pPr>
        <w:pStyle w:val="BodyText"/>
        <w:ind w:left="4270"/>
        <w:rPr>
          <w:sz w:val="20"/>
        </w:rPr>
      </w:pPr>
      <w:r>
        <w:rPr>
          <w:noProof/>
          <w:sz w:val="20"/>
        </w:rPr>
        <w:drawing>
          <wp:inline distT="0" distB="0" distL="0" distR="0" wp14:anchorId="7401FECC" wp14:editId="0B98BF10">
            <wp:extent cx="787678" cy="7822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87678" cy="782288"/>
                    </a:xfrm>
                    <a:prstGeom prst="rect">
                      <a:avLst/>
                    </a:prstGeom>
                  </pic:spPr>
                </pic:pic>
              </a:graphicData>
            </a:graphic>
          </wp:inline>
        </w:drawing>
      </w:r>
    </w:p>
    <w:p w14:paraId="4CABAF99" w14:textId="77777777" w:rsidR="00446671" w:rsidRDefault="0065406B">
      <w:pPr>
        <w:pStyle w:val="Title"/>
        <w:spacing w:before="64" w:line="322" w:lineRule="exact"/>
      </w:pPr>
      <w:bookmarkStart w:id="0" w:name="STATE_OF_WASHINGTON"/>
      <w:bookmarkEnd w:id="0"/>
      <w:r>
        <w:t>STATE</w:t>
      </w:r>
      <w:r>
        <w:rPr>
          <w:spacing w:val="-13"/>
        </w:rPr>
        <w:t xml:space="preserve"> </w:t>
      </w:r>
      <w:r>
        <w:t>OF</w:t>
      </w:r>
      <w:r>
        <w:rPr>
          <w:spacing w:val="-9"/>
        </w:rPr>
        <w:t xml:space="preserve"> </w:t>
      </w:r>
      <w:r>
        <w:t>WASHINGTON</w:t>
      </w:r>
    </w:p>
    <w:p w14:paraId="717C6788" w14:textId="77777777" w:rsidR="00446671" w:rsidRDefault="0065406B">
      <w:pPr>
        <w:pStyle w:val="Title"/>
        <w:ind w:left="2893"/>
      </w:pPr>
      <w:r w:rsidRPr="00FE5587">
        <w:t>Department</w:t>
      </w:r>
      <w:r w:rsidRPr="00FE5587">
        <w:rPr>
          <w:spacing w:val="8"/>
        </w:rPr>
        <w:t xml:space="preserve"> </w:t>
      </w:r>
      <w:r w:rsidRPr="00FE5587">
        <w:t>of</w:t>
      </w:r>
      <w:r w:rsidRPr="00FE5587">
        <w:rPr>
          <w:spacing w:val="8"/>
        </w:rPr>
        <w:t xml:space="preserve"> </w:t>
      </w:r>
      <w:r w:rsidRPr="00FE5587">
        <w:t>Enterprise</w:t>
      </w:r>
      <w:r w:rsidRPr="00FE5587">
        <w:rPr>
          <w:spacing w:val="8"/>
        </w:rPr>
        <w:t xml:space="preserve"> </w:t>
      </w:r>
      <w:r w:rsidRPr="00FE5587">
        <w:t>Services</w:t>
      </w:r>
    </w:p>
    <w:p w14:paraId="4C9CBC46" w14:textId="77777777" w:rsidR="00446671" w:rsidRDefault="0065406B">
      <w:pPr>
        <w:pStyle w:val="Heading1"/>
        <w:spacing w:line="274" w:lineRule="exact"/>
        <w:ind w:left="2891" w:right="2878" w:firstLine="0"/>
        <w:jc w:val="center"/>
      </w:pPr>
      <w:r>
        <w:t>SOLE</w:t>
      </w:r>
      <w:r>
        <w:rPr>
          <w:spacing w:val="-6"/>
        </w:rPr>
        <w:t xml:space="preserve"> </w:t>
      </w:r>
      <w:r>
        <w:t>SOURCE</w:t>
      </w:r>
      <w:r>
        <w:rPr>
          <w:spacing w:val="-6"/>
        </w:rPr>
        <w:t xml:space="preserve"> </w:t>
      </w:r>
      <w:r>
        <w:t>POSTING</w:t>
      </w:r>
    </w:p>
    <w:p w14:paraId="33EFAA9D" w14:textId="77777777" w:rsidR="00446671" w:rsidRDefault="00446671">
      <w:pPr>
        <w:pStyle w:val="BodyText"/>
      </w:pPr>
    </w:p>
    <w:p w14:paraId="0C711311" w14:textId="6C4F54E9" w:rsidR="00446671" w:rsidRDefault="00EF082A">
      <w:pPr>
        <w:ind w:left="119"/>
        <w:jc w:val="both"/>
        <w:rPr>
          <w:sz w:val="24"/>
        </w:rPr>
      </w:pPr>
      <w:r>
        <w:rPr>
          <w:sz w:val="24"/>
        </w:rPr>
        <w:t xml:space="preserve">June </w:t>
      </w:r>
      <w:r w:rsidR="005213DA">
        <w:rPr>
          <w:sz w:val="24"/>
        </w:rPr>
        <w:t>1</w:t>
      </w:r>
      <w:r w:rsidR="00103722">
        <w:rPr>
          <w:sz w:val="24"/>
        </w:rPr>
        <w:t>7</w:t>
      </w:r>
      <w:r w:rsidR="00EB14B0">
        <w:rPr>
          <w:sz w:val="24"/>
        </w:rPr>
        <w:t>, 2025</w:t>
      </w:r>
      <w:r w:rsidR="00FE5587">
        <w:rPr>
          <w:sz w:val="24"/>
        </w:rPr>
        <w:t xml:space="preserve"> </w:t>
      </w:r>
    </w:p>
    <w:p w14:paraId="68F53855" w14:textId="77777777" w:rsidR="00446671" w:rsidRDefault="00446671">
      <w:pPr>
        <w:pStyle w:val="BodyText"/>
      </w:pPr>
    </w:p>
    <w:p w14:paraId="227F07D2" w14:textId="42835B50" w:rsidR="00446671" w:rsidRDefault="0065406B">
      <w:pPr>
        <w:pStyle w:val="BodyText"/>
        <w:ind w:left="119" w:right="312"/>
      </w:pPr>
      <w:r>
        <w:t>The</w:t>
      </w:r>
      <w:r>
        <w:rPr>
          <w:spacing w:val="1"/>
        </w:rPr>
        <w:t xml:space="preserve"> </w:t>
      </w:r>
      <w:r w:rsidR="00FE5587">
        <w:rPr>
          <w:spacing w:val="1"/>
        </w:rPr>
        <w:t xml:space="preserve">WA State </w:t>
      </w:r>
      <w:r w:rsidR="00FE5587">
        <w:t xml:space="preserve">Department of Enterprise Services </w:t>
      </w:r>
      <w:r>
        <w:t>,</w:t>
      </w:r>
      <w:r>
        <w:rPr>
          <w:spacing w:val="1"/>
        </w:rPr>
        <w:t xml:space="preserve"> </w:t>
      </w:r>
      <w:r>
        <w:t>contemplates</w:t>
      </w:r>
      <w:r>
        <w:rPr>
          <w:spacing w:val="1"/>
        </w:rPr>
        <w:t xml:space="preserve"> </w:t>
      </w:r>
      <w:r>
        <w:t>awarding</w:t>
      </w:r>
      <w:r>
        <w:rPr>
          <w:spacing w:val="1"/>
        </w:rPr>
        <w:t xml:space="preserve"> </w:t>
      </w:r>
      <w:r>
        <w:t>a</w:t>
      </w:r>
      <w:r>
        <w:rPr>
          <w:spacing w:val="1"/>
        </w:rPr>
        <w:t xml:space="preserve"> </w:t>
      </w:r>
      <w:r>
        <w:t>sole</w:t>
      </w:r>
      <w:r>
        <w:rPr>
          <w:spacing w:val="1"/>
        </w:rPr>
        <w:t xml:space="preserve"> </w:t>
      </w:r>
      <w:r>
        <w:t>source</w:t>
      </w:r>
      <w:r>
        <w:rPr>
          <w:spacing w:val="1"/>
        </w:rPr>
        <w:t xml:space="preserve"> </w:t>
      </w:r>
      <w:r>
        <w:t>contract</w:t>
      </w:r>
      <w:r>
        <w:rPr>
          <w:spacing w:val="1"/>
        </w:rPr>
        <w:t xml:space="preserve"> </w:t>
      </w:r>
      <w:r>
        <w:t>to</w:t>
      </w:r>
      <w:r>
        <w:rPr>
          <w:spacing w:val="1"/>
        </w:rPr>
        <w:t xml:space="preserve"> </w:t>
      </w:r>
      <w:r w:rsidR="00FE5587">
        <w:t>Oil Price Information Service, LLC</w:t>
      </w:r>
      <w:r w:rsidR="000908F9">
        <w:t xml:space="preserve"> (OPIS)</w:t>
      </w:r>
      <w:r w:rsidR="00FE5587">
        <w:t xml:space="preserve"> </w:t>
      </w:r>
      <w:r>
        <w:t>to</w:t>
      </w:r>
      <w:r>
        <w:rPr>
          <w:spacing w:val="29"/>
        </w:rPr>
        <w:t xml:space="preserve"> </w:t>
      </w:r>
      <w:r>
        <w:t>provide</w:t>
      </w:r>
      <w:r>
        <w:rPr>
          <w:spacing w:val="-4"/>
        </w:rPr>
        <w:t xml:space="preserve"> </w:t>
      </w:r>
      <w:r w:rsidR="00FE5587">
        <w:t xml:space="preserve">daily fuel pricing updates as it pertains to </w:t>
      </w:r>
      <w:r w:rsidR="002A6746">
        <w:t xml:space="preserve">certain </w:t>
      </w:r>
      <w:r w:rsidR="00FE5587">
        <w:t>statewide contracts</w:t>
      </w:r>
      <w:r w:rsidR="002A6746">
        <w:t>.</w:t>
      </w:r>
    </w:p>
    <w:p w14:paraId="7E5BCF30" w14:textId="77777777" w:rsidR="00446671" w:rsidRDefault="00446671">
      <w:pPr>
        <w:pStyle w:val="BodyText"/>
      </w:pPr>
    </w:p>
    <w:p w14:paraId="232864B8" w14:textId="3D9965F4" w:rsidR="00446671" w:rsidRDefault="00FE5587">
      <w:pPr>
        <w:pStyle w:val="BodyText"/>
        <w:tabs>
          <w:tab w:val="left" w:pos="1411"/>
          <w:tab w:val="left" w:pos="2475"/>
          <w:tab w:val="left" w:pos="4138"/>
          <w:tab w:val="left" w:pos="4953"/>
          <w:tab w:val="left" w:pos="6986"/>
          <w:tab w:val="left" w:pos="7748"/>
          <w:tab w:val="left" w:pos="8643"/>
        </w:tabs>
        <w:ind w:left="119" w:right="114"/>
      </w:pPr>
      <w:r>
        <w:t xml:space="preserve">Enterprise Services </w:t>
      </w:r>
      <w:r w:rsidR="0065406B">
        <w:t>requires</w:t>
      </w:r>
      <w:r w:rsidR="000711B2">
        <w:t xml:space="preserve"> fuel pricing data for the Pacific Northwest that breaks down fuel pricing by location each day. Other fuel price providers focus on providing pricing information on the Northwest region of the United States. OPIS is able to send Enterprise Services daily updates of regional fuel prices to update pricing data for </w:t>
      </w:r>
      <w:r w:rsidR="00E93040">
        <w:t xml:space="preserve">statewide </w:t>
      </w:r>
      <w:r w:rsidR="000711B2">
        <w:t>contracts</w:t>
      </w:r>
      <w:r w:rsidR="00E93040">
        <w:t>; Marine Refueling Services #05718, Fuels, Snow and Ice Control Products #11021, and Fuels: Gasoline, Diesel, and Renewables #08721.</w:t>
      </w:r>
    </w:p>
    <w:p w14:paraId="5FAC991E" w14:textId="77777777" w:rsidR="00446671" w:rsidRDefault="00446671">
      <w:pPr>
        <w:pStyle w:val="BodyText"/>
      </w:pPr>
    </w:p>
    <w:p w14:paraId="7B7B0F87" w14:textId="3A7955D2" w:rsidR="00446671" w:rsidRDefault="000711B2">
      <w:pPr>
        <w:pStyle w:val="BodyText"/>
        <w:ind w:left="119" w:right="102"/>
        <w:jc w:val="both"/>
      </w:pPr>
      <w:r>
        <w:t>Enterprise Services</w:t>
      </w:r>
      <w:r w:rsidR="0065406B">
        <w:t xml:space="preserve"> will enter into a </w:t>
      </w:r>
      <w:r w:rsidR="00301CF4">
        <w:t>three</w:t>
      </w:r>
      <w:r w:rsidR="0065406B" w:rsidRPr="000711B2">
        <w:t xml:space="preserve"> (</w:t>
      </w:r>
      <w:r w:rsidR="00301CF4">
        <w:t>3</w:t>
      </w:r>
      <w:r w:rsidR="0065406B" w:rsidRPr="000711B2">
        <w:t>)</w:t>
      </w:r>
      <w:r>
        <w:t xml:space="preserve"> year</w:t>
      </w:r>
      <w:r w:rsidR="0065406B">
        <w:t xml:space="preserve"> contract with </w:t>
      </w:r>
      <w:r>
        <w:t>Oil Price Information Service, LLC</w:t>
      </w:r>
      <w:r w:rsidR="0065406B">
        <w:t>. The</w:t>
      </w:r>
      <w:r>
        <w:t xml:space="preserve"> </w:t>
      </w:r>
      <w:r w:rsidR="0065406B">
        <w:rPr>
          <w:spacing w:val="-57"/>
        </w:rPr>
        <w:t xml:space="preserve"> </w:t>
      </w:r>
      <w:r w:rsidR="0065406B">
        <w:t>contract</w:t>
      </w:r>
      <w:r w:rsidR="0065406B">
        <w:rPr>
          <w:spacing w:val="1"/>
        </w:rPr>
        <w:t xml:space="preserve"> </w:t>
      </w:r>
      <w:r w:rsidR="0065406B">
        <w:t>will</w:t>
      </w:r>
      <w:r w:rsidR="0065406B">
        <w:rPr>
          <w:spacing w:val="1"/>
        </w:rPr>
        <w:t xml:space="preserve"> </w:t>
      </w:r>
      <w:r w:rsidR="0065406B">
        <w:t>be</w:t>
      </w:r>
      <w:r w:rsidR="0065406B">
        <w:rPr>
          <w:spacing w:val="1"/>
        </w:rPr>
        <w:t xml:space="preserve"> </w:t>
      </w:r>
      <w:r w:rsidR="0065406B">
        <w:t>issued</w:t>
      </w:r>
      <w:r w:rsidR="00521EC6">
        <w:rPr>
          <w:spacing w:val="1"/>
        </w:rPr>
        <w:t xml:space="preserve"> on or</w:t>
      </w:r>
      <w:r w:rsidR="0065406B" w:rsidRPr="008721CD">
        <w:t xml:space="preserve"> after</w:t>
      </w:r>
      <w:r w:rsidR="0065406B" w:rsidRPr="008721CD">
        <w:rPr>
          <w:spacing w:val="1"/>
        </w:rPr>
        <w:t xml:space="preserve"> </w:t>
      </w:r>
      <w:r w:rsidR="00EB14B0">
        <w:t>Ju</w:t>
      </w:r>
      <w:r w:rsidR="00937730">
        <w:t>ly</w:t>
      </w:r>
      <w:r w:rsidR="00EB14B0">
        <w:t xml:space="preserve"> 1</w:t>
      </w:r>
      <w:r w:rsidR="00103722">
        <w:t>0</w:t>
      </w:r>
      <w:r w:rsidR="00EB14B0">
        <w:t>, 2025</w:t>
      </w:r>
      <w:r w:rsidR="008721CD" w:rsidRPr="008721CD">
        <w:t>,</w:t>
      </w:r>
      <w:r w:rsidR="0065406B" w:rsidRPr="008721CD">
        <w:rPr>
          <w:spacing w:val="1"/>
        </w:rPr>
        <w:t xml:space="preserve"> </w:t>
      </w:r>
      <w:r w:rsidR="0065406B" w:rsidRPr="008721CD">
        <w:t>and</w:t>
      </w:r>
      <w:r w:rsidR="0065406B" w:rsidRPr="008721CD">
        <w:rPr>
          <w:spacing w:val="1"/>
        </w:rPr>
        <w:t xml:space="preserve"> </w:t>
      </w:r>
      <w:r w:rsidR="0065406B" w:rsidRPr="008721CD">
        <w:t>will</w:t>
      </w:r>
      <w:r w:rsidR="0065406B" w:rsidRPr="008721CD">
        <w:rPr>
          <w:spacing w:val="1"/>
        </w:rPr>
        <w:t xml:space="preserve"> </w:t>
      </w:r>
      <w:r w:rsidR="0065406B" w:rsidRPr="008721CD">
        <w:t>continue</w:t>
      </w:r>
      <w:r w:rsidR="0065406B" w:rsidRPr="008721CD">
        <w:rPr>
          <w:spacing w:val="1"/>
        </w:rPr>
        <w:t xml:space="preserve"> </w:t>
      </w:r>
      <w:r w:rsidR="0065406B" w:rsidRPr="008721CD">
        <w:t xml:space="preserve">for </w:t>
      </w:r>
      <w:r w:rsidR="00301CF4">
        <w:t xml:space="preserve">three </w:t>
      </w:r>
      <w:r w:rsidRPr="008721CD">
        <w:t>(</w:t>
      </w:r>
      <w:r w:rsidR="00301CF4">
        <w:t>3</w:t>
      </w:r>
      <w:r w:rsidRPr="008721CD">
        <w:t xml:space="preserve">) </w:t>
      </w:r>
      <w:r w:rsidR="0065406B" w:rsidRPr="008721CD">
        <w:t>year initial term. The</w:t>
      </w:r>
      <w:r w:rsidR="0065406B" w:rsidRPr="008721CD">
        <w:rPr>
          <w:spacing w:val="60"/>
        </w:rPr>
        <w:t xml:space="preserve"> </w:t>
      </w:r>
      <w:r w:rsidR="0065406B" w:rsidRPr="008721CD">
        <w:t>cost</w:t>
      </w:r>
      <w:r w:rsidR="0065406B" w:rsidRPr="008721CD">
        <w:rPr>
          <w:spacing w:val="60"/>
        </w:rPr>
        <w:t xml:space="preserve"> </w:t>
      </w:r>
      <w:r w:rsidR="0065406B" w:rsidRPr="008721CD">
        <w:t>of</w:t>
      </w:r>
      <w:r w:rsidR="0065406B" w:rsidRPr="008721CD">
        <w:rPr>
          <w:spacing w:val="60"/>
        </w:rPr>
        <w:t xml:space="preserve"> </w:t>
      </w:r>
      <w:r w:rsidR="0065406B" w:rsidRPr="008721CD">
        <w:t>this</w:t>
      </w:r>
      <w:r w:rsidR="0065406B" w:rsidRPr="008721CD">
        <w:rPr>
          <w:spacing w:val="60"/>
        </w:rPr>
        <w:t xml:space="preserve"> </w:t>
      </w:r>
      <w:r w:rsidR="00301CF4">
        <w:t xml:space="preserve">three </w:t>
      </w:r>
      <w:r w:rsidRPr="008721CD">
        <w:t>(</w:t>
      </w:r>
      <w:r w:rsidR="00301CF4">
        <w:t>3</w:t>
      </w:r>
      <w:r w:rsidRPr="008721CD">
        <w:t xml:space="preserve">) </w:t>
      </w:r>
      <w:r w:rsidR="0065406B" w:rsidRPr="008721CD">
        <w:t>year</w:t>
      </w:r>
      <w:r w:rsidR="0065406B" w:rsidRPr="008721CD">
        <w:rPr>
          <w:spacing w:val="60"/>
        </w:rPr>
        <w:t xml:space="preserve"> </w:t>
      </w:r>
      <w:r w:rsidR="0065406B" w:rsidRPr="008721CD">
        <w:t>contract</w:t>
      </w:r>
      <w:r w:rsidR="0065406B" w:rsidRPr="008721CD">
        <w:rPr>
          <w:spacing w:val="60"/>
        </w:rPr>
        <w:t xml:space="preserve"> </w:t>
      </w:r>
      <w:r w:rsidR="0065406B" w:rsidRPr="008721CD">
        <w:t>is</w:t>
      </w:r>
      <w:r w:rsidR="0065406B" w:rsidRPr="008721CD">
        <w:rPr>
          <w:spacing w:val="60"/>
        </w:rPr>
        <w:t xml:space="preserve"> </w:t>
      </w:r>
      <w:r w:rsidR="0065406B" w:rsidRPr="008721CD">
        <w:t>$</w:t>
      </w:r>
      <w:r w:rsidR="008102F1">
        <w:t>106,791</w:t>
      </w:r>
      <w:r w:rsidR="0065406B" w:rsidRPr="008721CD">
        <w:t>.</w:t>
      </w:r>
      <w:r w:rsidR="0065406B" w:rsidRPr="008721CD">
        <w:rPr>
          <w:spacing w:val="60"/>
        </w:rPr>
        <w:t xml:space="preserve"> </w:t>
      </w:r>
      <w:r w:rsidR="008721CD" w:rsidRPr="008721CD">
        <w:t xml:space="preserve">Enterprise Services </w:t>
      </w:r>
      <w:r w:rsidR="0065406B" w:rsidRPr="008721CD">
        <w:t>may</w:t>
      </w:r>
      <w:r w:rsidR="0065406B" w:rsidRPr="008721CD">
        <w:rPr>
          <w:spacing w:val="1"/>
        </w:rPr>
        <w:t xml:space="preserve"> </w:t>
      </w:r>
      <w:r w:rsidR="0065406B" w:rsidRPr="008721CD">
        <w:t>opt</w:t>
      </w:r>
      <w:r w:rsidR="0065406B" w:rsidRPr="008721CD">
        <w:rPr>
          <w:spacing w:val="1"/>
        </w:rPr>
        <w:t xml:space="preserve"> </w:t>
      </w:r>
      <w:r w:rsidR="0065406B" w:rsidRPr="008721CD">
        <w:t>to</w:t>
      </w:r>
      <w:r w:rsidR="0065406B" w:rsidRPr="008721CD">
        <w:rPr>
          <w:spacing w:val="1"/>
        </w:rPr>
        <w:t xml:space="preserve"> </w:t>
      </w:r>
      <w:r w:rsidR="0065406B" w:rsidRPr="008721CD">
        <w:t>extend</w:t>
      </w:r>
      <w:r w:rsidR="0065406B" w:rsidRPr="008721CD">
        <w:rPr>
          <w:spacing w:val="1"/>
        </w:rPr>
        <w:t xml:space="preserve"> </w:t>
      </w:r>
      <w:r w:rsidR="0065406B" w:rsidRPr="008721CD">
        <w:t>the</w:t>
      </w:r>
      <w:r w:rsidR="0065406B" w:rsidRPr="008721CD">
        <w:rPr>
          <w:spacing w:val="1"/>
        </w:rPr>
        <w:t xml:space="preserve"> </w:t>
      </w:r>
      <w:r w:rsidR="0065406B" w:rsidRPr="008721CD">
        <w:t>contract</w:t>
      </w:r>
      <w:r w:rsidR="0065406B" w:rsidRPr="008721CD">
        <w:rPr>
          <w:spacing w:val="1"/>
        </w:rPr>
        <w:t xml:space="preserve"> </w:t>
      </w:r>
      <w:r w:rsidR="0065406B" w:rsidRPr="008721CD">
        <w:t>for</w:t>
      </w:r>
      <w:r w:rsidR="0065406B" w:rsidRPr="008721CD">
        <w:rPr>
          <w:spacing w:val="1"/>
        </w:rPr>
        <w:t xml:space="preserve"> </w:t>
      </w:r>
      <w:r w:rsidR="0065406B" w:rsidRPr="008721CD">
        <w:t>an</w:t>
      </w:r>
      <w:r w:rsidR="0065406B" w:rsidRPr="008721CD">
        <w:rPr>
          <w:spacing w:val="1"/>
        </w:rPr>
        <w:t xml:space="preserve"> </w:t>
      </w:r>
      <w:r w:rsidR="0065406B" w:rsidRPr="008721CD">
        <w:t>additional</w:t>
      </w:r>
      <w:r w:rsidR="0065406B" w:rsidRPr="008721CD">
        <w:rPr>
          <w:spacing w:val="1"/>
        </w:rPr>
        <w:t xml:space="preserve"> </w:t>
      </w:r>
      <w:r w:rsidR="008721CD" w:rsidRPr="008721CD">
        <w:t>three</w:t>
      </w:r>
      <w:r w:rsidR="0065406B" w:rsidRPr="008721CD">
        <w:rPr>
          <w:spacing w:val="1"/>
        </w:rPr>
        <w:t xml:space="preserve"> </w:t>
      </w:r>
      <w:r w:rsidR="0065406B" w:rsidRPr="008721CD">
        <w:t>(3)</w:t>
      </w:r>
      <w:r w:rsidR="0065406B" w:rsidRPr="008721CD">
        <w:rPr>
          <w:spacing w:val="61"/>
        </w:rPr>
        <w:t xml:space="preserve"> </w:t>
      </w:r>
      <w:r w:rsidR="0065406B" w:rsidRPr="008721CD">
        <w:t>times</w:t>
      </w:r>
      <w:r w:rsidR="0065406B" w:rsidRPr="008721CD">
        <w:rPr>
          <w:spacing w:val="61"/>
        </w:rPr>
        <w:t xml:space="preserve"> </w:t>
      </w:r>
      <w:r w:rsidR="0065406B" w:rsidRPr="008721CD">
        <w:t>in</w:t>
      </w:r>
      <w:r w:rsidR="0065406B" w:rsidRPr="008721CD">
        <w:rPr>
          <w:spacing w:val="61"/>
        </w:rPr>
        <w:t xml:space="preserve"> </w:t>
      </w:r>
      <w:r w:rsidR="008721CD" w:rsidRPr="008721CD">
        <w:t>one</w:t>
      </w:r>
      <w:r w:rsidR="00EB14B0">
        <w:rPr>
          <w:spacing w:val="61"/>
        </w:rPr>
        <w:t xml:space="preserve"> </w:t>
      </w:r>
      <w:r w:rsidR="0065406B" w:rsidRPr="008721CD">
        <w:t>(1)</w:t>
      </w:r>
      <w:r w:rsidR="0065406B" w:rsidRPr="008721CD">
        <w:rPr>
          <w:spacing w:val="61"/>
        </w:rPr>
        <w:t xml:space="preserve"> </w:t>
      </w:r>
      <w:r w:rsidR="008721CD">
        <w:t>year increments</w:t>
      </w:r>
      <w:r w:rsidR="0065406B">
        <w:t xml:space="preserve"> if required. </w:t>
      </w:r>
      <w:r w:rsidR="008721CD">
        <w:t>Enterprise Services</w:t>
      </w:r>
      <w:r w:rsidR="0065406B">
        <w:t xml:space="preserve"> determines that each optional additional </w:t>
      </w:r>
      <w:r w:rsidR="008721CD">
        <w:t>one-year extension</w:t>
      </w:r>
      <w:r w:rsidR="0065406B">
        <w:rPr>
          <w:spacing w:val="48"/>
        </w:rPr>
        <w:t xml:space="preserve"> </w:t>
      </w:r>
      <w:r w:rsidR="0065406B">
        <w:t>would</w:t>
      </w:r>
      <w:r w:rsidR="0065406B">
        <w:rPr>
          <w:spacing w:val="49"/>
        </w:rPr>
        <w:t xml:space="preserve"> </w:t>
      </w:r>
      <w:r w:rsidR="0065406B">
        <w:t>result</w:t>
      </w:r>
      <w:r w:rsidR="0065406B">
        <w:rPr>
          <w:spacing w:val="50"/>
        </w:rPr>
        <w:t xml:space="preserve"> </w:t>
      </w:r>
      <w:r w:rsidR="0065406B">
        <w:t>in</w:t>
      </w:r>
      <w:r w:rsidR="0065406B">
        <w:rPr>
          <w:spacing w:val="49"/>
        </w:rPr>
        <w:t xml:space="preserve"> </w:t>
      </w:r>
      <w:r w:rsidR="0065406B">
        <w:t>equal</w:t>
      </w:r>
      <w:r w:rsidR="0065406B">
        <w:rPr>
          <w:spacing w:val="50"/>
        </w:rPr>
        <w:t xml:space="preserve"> </w:t>
      </w:r>
      <w:r w:rsidR="0065406B">
        <w:t>(and/or</w:t>
      </w:r>
      <w:r w:rsidR="0065406B">
        <w:rPr>
          <w:spacing w:val="49"/>
        </w:rPr>
        <w:t xml:space="preserve"> </w:t>
      </w:r>
      <w:r w:rsidR="0065406B">
        <w:t>slightly</w:t>
      </w:r>
      <w:r w:rsidR="0065406B">
        <w:rPr>
          <w:spacing w:val="49"/>
        </w:rPr>
        <w:t xml:space="preserve"> </w:t>
      </w:r>
      <w:r w:rsidR="0065406B">
        <w:t>higher)</w:t>
      </w:r>
      <w:r w:rsidR="0065406B">
        <w:rPr>
          <w:spacing w:val="50"/>
        </w:rPr>
        <w:t xml:space="preserve"> </w:t>
      </w:r>
      <w:r w:rsidR="0065406B">
        <w:t>consideration</w:t>
      </w:r>
      <w:r w:rsidR="0065406B">
        <w:rPr>
          <w:spacing w:val="49"/>
        </w:rPr>
        <w:t xml:space="preserve"> </w:t>
      </w:r>
      <w:r w:rsidR="0065406B">
        <w:t>being</w:t>
      </w:r>
      <w:r w:rsidR="0065406B">
        <w:rPr>
          <w:spacing w:val="50"/>
        </w:rPr>
        <w:t xml:space="preserve"> </w:t>
      </w:r>
      <w:r w:rsidR="0065406B">
        <w:t>added</w:t>
      </w:r>
      <w:r w:rsidR="0065406B">
        <w:rPr>
          <w:spacing w:val="49"/>
        </w:rPr>
        <w:t xml:space="preserve"> </w:t>
      </w:r>
      <w:r w:rsidR="0065406B">
        <w:t>to</w:t>
      </w:r>
      <w:r w:rsidR="0065406B">
        <w:rPr>
          <w:spacing w:val="31"/>
        </w:rPr>
        <w:t xml:space="preserve"> </w:t>
      </w:r>
      <w:r w:rsidR="0065406B">
        <w:t>the</w:t>
      </w:r>
      <w:r w:rsidR="008721CD">
        <w:t xml:space="preserve"> </w:t>
      </w:r>
      <w:r w:rsidR="0065406B">
        <w:rPr>
          <w:spacing w:val="-58"/>
        </w:rPr>
        <w:t xml:space="preserve"> </w:t>
      </w:r>
      <w:r w:rsidR="0065406B">
        <w:t>total contract</w:t>
      </w:r>
      <w:r w:rsidR="0065406B">
        <w:rPr>
          <w:spacing w:val="-1"/>
        </w:rPr>
        <w:t xml:space="preserve"> </w:t>
      </w:r>
      <w:r w:rsidR="0065406B">
        <w:t>value.</w:t>
      </w:r>
    </w:p>
    <w:p w14:paraId="3B0FA302" w14:textId="77777777" w:rsidR="00446671" w:rsidRDefault="00446671">
      <w:pPr>
        <w:pStyle w:val="BodyText"/>
      </w:pPr>
    </w:p>
    <w:p w14:paraId="61ED4C08" w14:textId="033B2EE4" w:rsidR="00446671" w:rsidRDefault="0065406B">
      <w:pPr>
        <w:pStyle w:val="BodyText"/>
        <w:ind w:left="119" w:right="102"/>
        <w:jc w:val="both"/>
      </w:pPr>
      <w:r>
        <w:t>Offerors</w:t>
      </w:r>
      <w:r>
        <w:rPr>
          <w:spacing w:val="61"/>
        </w:rPr>
        <w:t xml:space="preserve"> </w:t>
      </w:r>
      <w:r>
        <w:t>contemplating</w:t>
      </w:r>
      <w:r>
        <w:rPr>
          <w:spacing w:val="61"/>
        </w:rPr>
        <w:t xml:space="preserve"> </w:t>
      </w:r>
      <w:r>
        <w:t>the</w:t>
      </w:r>
      <w:r>
        <w:rPr>
          <w:spacing w:val="61"/>
        </w:rPr>
        <w:t xml:space="preserve"> </w:t>
      </w:r>
      <w:r>
        <w:t>above</w:t>
      </w:r>
      <w:r>
        <w:rPr>
          <w:spacing w:val="61"/>
        </w:rPr>
        <w:t xml:space="preserve"> </w:t>
      </w:r>
      <w:r>
        <w:t>requirements</w:t>
      </w:r>
      <w:r>
        <w:rPr>
          <w:spacing w:val="61"/>
        </w:rPr>
        <w:t xml:space="preserve"> </w:t>
      </w:r>
      <w:r>
        <w:t xml:space="preserve">are  </w:t>
      </w:r>
      <w:r>
        <w:rPr>
          <w:spacing w:val="1"/>
        </w:rPr>
        <w:t xml:space="preserve"> </w:t>
      </w:r>
      <w:r>
        <w:t xml:space="preserve">required  </w:t>
      </w:r>
      <w:r>
        <w:rPr>
          <w:spacing w:val="1"/>
        </w:rPr>
        <w:t xml:space="preserve"> </w:t>
      </w:r>
      <w:r>
        <w:t xml:space="preserve">to  </w:t>
      </w:r>
      <w:r>
        <w:rPr>
          <w:spacing w:val="1"/>
        </w:rPr>
        <w:t xml:space="preserve"> </w:t>
      </w:r>
      <w:r>
        <w:t xml:space="preserve">submit  </w:t>
      </w:r>
      <w:r>
        <w:rPr>
          <w:spacing w:val="1"/>
        </w:rPr>
        <w:t xml:space="preserve"> </w:t>
      </w:r>
      <w:r>
        <w:t>capability</w:t>
      </w:r>
      <w:r>
        <w:rPr>
          <w:spacing w:val="1"/>
        </w:rPr>
        <w:t xml:space="preserve"> </w:t>
      </w:r>
      <w:r>
        <w:t>statements</w:t>
      </w:r>
      <w:r>
        <w:rPr>
          <w:spacing w:val="1"/>
        </w:rPr>
        <w:t xml:space="preserve"> </w:t>
      </w:r>
      <w:r>
        <w:t>detailing</w:t>
      </w:r>
      <w:r>
        <w:rPr>
          <w:spacing w:val="1"/>
        </w:rPr>
        <w:t xml:space="preserve"> </w:t>
      </w:r>
      <w:r>
        <w:t>their</w:t>
      </w:r>
      <w:r>
        <w:rPr>
          <w:spacing w:val="1"/>
        </w:rPr>
        <w:t xml:space="preserve"> </w:t>
      </w:r>
      <w:r>
        <w:t>ability</w:t>
      </w:r>
      <w:r>
        <w:rPr>
          <w:spacing w:val="60"/>
        </w:rPr>
        <w:t xml:space="preserve"> </w:t>
      </w:r>
      <w:r>
        <w:t>to</w:t>
      </w:r>
      <w:r>
        <w:rPr>
          <w:spacing w:val="60"/>
        </w:rPr>
        <w:t xml:space="preserve"> </w:t>
      </w:r>
      <w:r>
        <w:t>meet</w:t>
      </w:r>
      <w:r>
        <w:rPr>
          <w:spacing w:val="60"/>
        </w:rPr>
        <w:t xml:space="preserve"> </w:t>
      </w:r>
      <w:r>
        <w:t>the</w:t>
      </w:r>
      <w:r>
        <w:rPr>
          <w:spacing w:val="60"/>
        </w:rPr>
        <w:t xml:space="preserve"> </w:t>
      </w:r>
      <w:r>
        <w:t>state’s</w:t>
      </w:r>
      <w:r>
        <w:rPr>
          <w:spacing w:val="60"/>
        </w:rPr>
        <w:t xml:space="preserve"> </w:t>
      </w:r>
      <w:r>
        <w:t>requirements</w:t>
      </w:r>
      <w:r>
        <w:rPr>
          <w:spacing w:val="60"/>
        </w:rPr>
        <w:t xml:space="preserve"> </w:t>
      </w:r>
      <w:r>
        <w:t>within</w:t>
      </w:r>
      <w:r>
        <w:rPr>
          <w:spacing w:val="60"/>
        </w:rPr>
        <w:t xml:space="preserve"> </w:t>
      </w:r>
      <w:r w:rsidR="00B27F7B">
        <w:t>ten</w:t>
      </w:r>
      <w:r>
        <w:rPr>
          <w:spacing w:val="60"/>
        </w:rPr>
        <w:t xml:space="preserve"> </w:t>
      </w:r>
      <w:r>
        <w:t>(</w:t>
      </w:r>
      <w:r w:rsidR="00B27F7B">
        <w:t>10</w:t>
      </w:r>
      <w:r>
        <w:t>)</w:t>
      </w:r>
      <w:r>
        <w:rPr>
          <w:spacing w:val="60"/>
        </w:rPr>
        <w:t xml:space="preserve"> </w:t>
      </w:r>
      <w:r>
        <w:t>working</w:t>
      </w:r>
      <w:r>
        <w:rPr>
          <w:spacing w:val="1"/>
        </w:rPr>
        <w:t xml:space="preserve"> </w:t>
      </w:r>
      <w:r>
        <w:t>days</w:t>
      </w:r>
      <w:r>
        <w:rPr>
          <w:spacing w:val="3"/>
        </w:rPr>
        <w:t xml:space="preserve"> </w:t>
      </w:r>
      <w:r>
        <w:t>of</w:t>
      </w:r>
      <w:r>
        <w:rPr>
          <w:spacing w:val="3"/>
        </w:rPr>
        <w:t xml:space="preserve"> </w:t>
      </w:r>
      <w:r>
        <w:t>this</w:t>
      </w:r>
      <w:r>
        <w:rPr>
          <w:spacing w:val="3"/>
        </w:rPr>
        <w:t xml:space="preserve"> </w:t>
      </w:r>
      <w:r>
        <w:t>announcement.</w:t>
      </w:r>
    </w:p>
    <w:p w14:paraId="678AB39C" w14:textId="77777777" w:rsidR="00446671" w:rsidRDefault="00446671">
      <w:pPr>
        <w:pStyle w:val="BodyText"/>
        <w:spacing w:before="7"/>
      </w:pPr>
    </w:p>
    <w:p w14:paraId="4F19464E" w14:textId="3A0AF4A5" w:rsidR="00446671" w:rsidRDefault="00D904F2">
      <w:pPr>
        <w:pStyle w:val="BodyText"/>
        <w:spacing w:before="1"/>
        <w:ind w:left="119"/>
        <w:jc w:val="both"/>
      </w:pPr>
      <w:r>
        <w:t>Vendor c</w:t>
      </w:r>
      <w:r w:rsidR="0065406B">
        <w:t>apability</w:t>
      </w:r>
      <w:r w:rsidR="0065406B">
        <w:rPr>
          <w:spacing w:val="-8"/>
        </w:rPr>
        <w:t xml:space="preserve"> </w:t>
      </w:r>
      <w:r w:rsidR="0065406B">
        <w:t>statements</w:t>
      </w:r>
      <w:r w:rsidR="0065406B">
        <w:rPr>
          <w:spacing w:val="-1"/>
        </w:rPr>
        <w:t xml:space="preserve"> </w:t>
      </w:r>
      <w:r w:rsidR="0065406B">
        <w:t>should address</w:t>
      </w:r>
      <w:r>
        <w:t xml:space="preserve"> how they are qualified and capable of performing</w:t>
      </w:r>
      <w:r w:rsidR="0065406B">
        <w:t xml:space="preserve"> the</w:t>
      </w:r>
      <w:r w:rsidR="0065406B">
        <w:rPr>
          <w:spacing w:val="-2"/>
        </w:rPr>
        <w:t xml:space="preserve"> </w:t>
      </w:r>
      <w:r w:rsidR="0065406B">
        <w:t>following</w:t>
      </w:r>
      <w:r w:rsidR="0065406B">
        <w:rPr>
          <w:spacing w:val="-3"/>
        </w:rPr>
        <w:t xml:space="preserve"> </w:t>
      </w:r>
      <w:r w:rsidR="0065406B">
        <w:t>requirements:</w:t>
      </w:r>
    </w:p>
    <w:p w14:paraId="175E2CBC" w14:textId="77777777" w:rsidR="00446671" w:rsidRDefault="00446671">
      <w:pPr>
        <w:pStyle w:val="BodyText"/>
        <w:spacing w:before="4"/>
        <w:rPr>
          <w:sz w:val="23"/>
        </w:rPr>
      </w:pPr>
    </w:p>
    <w:p w14:paraId="12E6E824" w14:textId="26BFCD19" w:rsidR="00446671" w:rsidRDefault="00CD37E8">
      <w:pPr>
        <w:pStyle w:val="Heading1"/>
        <w:numPr>
          <w:ilvl w:val="0"/>
          <w:numId w:val="1"/>
        </w:numPr>
        <w:tabs>
          <w:tab w:val="left" w:pos="839"/>
          <w:tab w:val="left" w:pos="840"/>
        </w:tabs>
        <w:spacing w:before="1"/>
        <w:ind w:right="685"/>
      </w:pPr>
      <w:r>
        <w:t>Ability to provide a d</w:t>
      </w:r>
      <w:r w:rsidR="008721CD">
        <w:t xml:space="preserve">aily AM/PM report delivery containing gross standard biodiesel rack prices for </w:t>
      </w:r>
      <w:r w:rsidR="00106046">
        <w:t>six</w:t>
      </w:r>
      <w:r w:rsidR="008721CD">
        <w:t xml:space="preserve"> (</w:t>
      </w:r>
      <w:r w:rsidR="00106046">
        <w:t>6</w:t>
      </w:r>
      <w:r w:rsidR="008721CD">
        <w:t xml:space="preserve">) locations. Report will be delivered as reported, to include carbon compliance costs and to exclude carbon compliance costs. </w:t>
      </w:r>
    </w:p>
    <w:p w14:paraId="3F645743" w14:textId="2BEDE48A" w:rsidR="00446671" w:rsidRDefault="008721CD">
      <w:pPr>
        <w:pStyle w:val="ListParagraph"/>
        <w:numPr>
          <w:ilvl w:val="0"/>
          <w:numId w:val="1"/>
        </w:numPr>
        <w:tabs>
          <w:tab w:val="left" w:pos="839"/>
          <w:tab w:val="left" w:pos="840"/>
        </w:tabs>
        <w:rPr>
          <w:sz w:val="24"/>
        </w:rPr>
      </w:pPr>
      <w:r>
        <w:rPr>
          <w:sz w:val="24"/>
        </w:rPr>
        <w:t xml:space="preserve">Daily report containing gross standard gasoline and/or diesel rack prices for six (6) locations for the calendar day timing and up to seven </w:t>
      </w:r>
      <w:r w:rsidR="00852972">
        <w:rPr>
          <w:sz w:val="24"/>
        </w:rPr>
        <w:t>(</w:t>
      </w:r>
      <w:r>
        <w:rPr>
          <w:sz w:val="24"/>
        </w:rPr>
        <w:t>7) locations for the gross standard and/or terminal closing timing in a custom and/or readable format. The reports will be delivered as reported, to include carbon compliance costs and to exclude carbon compliance costs; and</w:t>
      </w:r>
    </w:p>
    <w:p w14:paraId="0774894C" w14:textId="2078A546" w:rsidR="00446671" w:rsidRDefault="008721CD">
      <w:pPr>
        <w:pStyle w:val="ListParagraph"/>
        <w:numPr>
          <w:ilvl w:val="0"/>
          <w:numId w:val="1"/>
        </w:numPr>
        <w:tabs>
          <w:tab w:val="left" w:pos="839"/>
          <w:tab w:val="left" w:pos="840"/>
        </w:tabs>
        <w:spacing w:before="7"/>
        <w:ind w:right="611"/>
        <w:rPr>
          <w:sz w:val="24"/>
        </w:rPr>
      </w:pPr>
      <w:r>
        <w:rPr>
          <w:sz w:val="24"/>
        </w:rPr>
        <w:t xml:space="preserve">A daily report containing closing carbon assessment data including </w:t>
      </w:r>
      <w:r w:rsidR="00417A5A" w:rsidRPr="00417A5A">
        <w:rPr>
          <w:sz w:val="24"/>
        </w:rPr>
        <w:t>Climate Commitment Act</w:t>
      </w:r>
      <w:r w:rsidR="00417A5A">
        <w:rPr>
          <w:sz w:val="24"/>
        </w:rPr>
        <w:t>(</w:t>
      </w:r>
      <w:r>
        <w:rPr>
          <w:sz w:val="24"/>
        </w:rPr>
        <w:t>CCA</w:t>
      </w:r>
      <w:r w:rsidR="00417A5A">
        <w:rPr>
          <w:sz w:val="24"/>
        </w:rPr>
        <w:t>)</w:t>
      </w:r>
      <w:r>
        <w:rPr>
          <w:sz w:val="24"/>
        </w:rPr>
        <w:t xml:space="preserve">, </w:t>
      </w:r>
      <w:r w:rsidR="00417A5A">
        <w:rPr>
          <w:sz w:val="24"/>
        </w:rPr>
        <w:t>Cap-At-Rack(</w:t>
      </w:r>
      <w:r>
        <w:rPr>
          <w:sz w:val="24"/>
        </w:rPr>
        <w:t>CAR</w:t>
      </w:r>
      <w:r w:rsidR="00417A5A">
        <w:rPr>
          <w:sz w:val="24"/>
        </w:rPr>
        <w:t>)</w:t>
      </w:r>
      <w:r>
        <w:rPr>
          <w:sz w:val="24"/>
        </w:rPr>
        <w:t xml:space="preserve">, and </w:t>
      </w:r>
      <w:r w:rsidR="00417A5A">
        <w:rPr>
          <w:sz w:val="24"/>
        </w:rPr>
        <w:t>Low Carbine Fuel Standards (</w:t>
      </w:r>
      <w:r>
        <w:rPr>
          <w:sz w:val="24"/>
        </w:rPr>
        <w:t>LCFS</w:t>
      </w:r>
      <w:r w:rsidR="00417A5A">
        <w:rPr>
          <w:sz w:val="24"/>
        </w:rPr>
        <w:t>)</w:t>
      </w:r>
      <w:r>
        <w:rPr>
          <w:sz w:val="24"/>
        </w:rPr>
        <w:t xml:space="preserve"> postings. Product </w:t>
      </w:r>
      <w:r w:rsidR="00202FE5">
        <w:rPr>
          <w:sz w:val="24"/>
        </w:rPr>
        <w:t>should</w:t>
      </w:r>
      <w:r>
        <w:rPr>
          <w:sz w:val="24"/>
        </w:rPr>
        <w:t xml:space="preserve"> be delivered </w:t>
      </w:r>
      <w:r w:rsidR="008102F1">
        <w:rPr>
          <w:sz w:val="24"/>
        </w:rPr>
        <w:t>in excel</w:t>
      </w:r>
      <w:r>
        <w:rPr>
          <w:sz w:val="24"/>
        </w:rPr>
        <w:t xml:space="preserve"> format. </w:t>
      </w:r>
    </w:p>
    <w:p w14:paraId="22A5353C" w14:textId="77777777" w:rsidR="00446671" w:rsidRDefault="00446671">
      <w:pPr>
        <w:pStyle w:val="BodyText"/>
        <w:spacing w:before="2"/>
        <w:rPr>
          <w:sz w:val="22"/>
        </w:rPr>
      </w:pPr>
    </w:p>
    <w:p w14:paraId="612D3811" w14:textId="29646F8A" w:rsidR="00446671" w:rsidRDefault="0065406B" w:rsidP="008721CD">
      <w:pPr>
        <w:pStyle w:val="BodyText"/>
        <w:ind w:left="246" w:right="312"/>
      </w:pPr>
      <w:r>
        <w:t>In</w:t>
      </w:r>
      <w:r>
        <w:rPr>
          <w:spacing w:val="7"/>
        </w:rPr>
        <w:t xml:space="preserve"> </w:t>
      </w:r>
      <w:r>
        <w:t>the</w:t>
      </w:r>
      <w:r>
        <w:rPr>
          <w:spacing w:val="4"/>
        </w:rPr>
        <w:t xml:space="preserve"> </w:t>
      </w:r>
      <w:r>
        <w:t>absence</w:t>
      </w:r>
      <w:r>
        <w:rPr>
          <w:spacing w:val="5"/>
        </w:rPr>
        <w:t xml:space="preserve"> </w:t>
      </w:r>
      <w:r>
        <w:t>of</w:t>
      </w:r>
      <w:r>
        <w:rPr>
          <w:spacing w:val="6"/>
        </w:rPr>
        <w:t xml:space="preserve"> </w:t>
      </w:r>
      <w:r>
        <w:t>other</w:t>
      </w:r>
      <w:r>
        <w:rPr>
          <w:spacing w:val="5"/>
        </w:rPr>
        <w:t xml:space="preserve"> </w:t>
      </w:r>
      <w:r w:rsidR="00B27F7B">
        <w:t>capable</w:t>
      </w:r>
      <w:r>
        <w:rPr>
          <w:spacing w:val="7"/>
        </w:rPr>
        <w:t xml:space="preserve"> </w:t>
      </w:r>
      <w:r>
        <w:t>sources,</w:t>
      </w:r>
      <w:r>
        <w:rPr>
          <w:spacing w:val="7"/>
        </w:rPr>
        <w:t xml:space="preserve"> </w:t>
      </w:r>
      <w:r>
        <w:t>it</w:t>
      </w:r>
      <w:r>
        <w:rPr>
          <w:spacing w:val="8"/>
        </w:rPr>
        <w:t xml:space="preserve"> </w:t>
      </w:r>
      <w:r>
        <w:t>is</w:t>
      </w:r>
      <w:r>
        <w:rPr>
          <w:spacing w:val="7"/>
        </w:rPr>
        <w:t xml:space="preserve"> </w:t>
      </w:r>
      <w:r>
        <w:t>the state’s</w:t>
      </w:r>
      <w:r>
        <w:rPr>
          <w:spacing w:val="7"/>
        </w:rPr>
        <w:t xml:space="preserve"> </w:t>
      </w:r>
      <w:r>
        <w:t>intent</w:t>
      </w:r>
      <w:r>
        <w:rPr>
          <w:spacing w:val="7"/>
        </w:rPr>
        <w:t xml:space="preserve"> </w:t>
      </w:r>
      <w:r>
        <w:t>to</w:t>
      </w:r>
      <w:r>
        <w:rPr>
          <w:spacing w:val="7"/>
        </w:rPr>
        <w:t xml:space="preserve"> </w:t>
      </w:r>
      <w:r>
        <w:t>make</w:t>
      </w:r>
      <w:r>
        <w:rPr>
          <w:spacing w:val="5"/>
        </w:rPr>
        <w:t xml:space="preserve"> </w:t>
      </w:r>
      <w:r>
        <w:t>a</w:t>
      </w:r>
      <w:r>
        <w:rPr>
          <w:spacing w:val="6"/>
        </w:rPr>
        <w:t xml:space="preserve"> </w:t>
      </w:r>
      <w:r>
        <w:t>sole</w:t>
      </w:r>
      <w:r>
        <w:rPr>
          <w:spacing w:val="5"/>
        </w:rPr>
        <w:t xml:space="preserve"> </w:t>
      </w:r>
      <w:r>
        <w:t>source</w:t>
      </w:r>
      <w:r>
        <w:rPr>
          <w:spacing w:val="5"/>
        </w:rPr>
        <w:t xml:space="preserve"> </w:t>
      </w:r>
      <w:r>
        <w:t>award</w:t>
      </w:r>
      <w:r>
        <w:rPr>
          <w:spacing w:val="7"/>
        </w:rPr>
        <w:t xml:space="preserve"> </w:t>
      </w:r>
      <w:r>
        <w:t>of</w:t>
      </w:r>
      <w:r>
        <w:rPr>
          <w:spacing w:val="-57"/>
        </w:rPr>
        <w:t xml:space="preserve"> </w:t>
      </w:r>
      <w:r>
        <w:rPr>
          <w:spacing w:val="-1"/>
        </w:rPr>
        <w:t>the</w:t>
      </w:r>
      <w:r>
        <w:rPr>
          <w:spacing w:val="1"/>
        </w:rPr>
        <w:t xml:space="preserve"> </w:t>
      </w:r>
      <w:r>
        <w:rPr>
          <w:spacing w:val="-1"/>
        </w:rPr>
        <w:t>contract.</w:t>
      </w:r>
      <w:r>
        <w:t xml:space="preserve"> To submit capability</w:t>
      </w:r>
      <w:r>
        <w:rPr>
          <w:spacing w:val="-15"/>
        </w:rPr>
        <w:t xml:space="preserve"> </w:t>
      </w:r>
      <w:r>
        <w:t>statements or</w:t>
      </w:r>
      <w:r>
        <w:rPr>
          <w:spacing w:val="-2"/>
        </w:rPr>
        <w:t xml:space="preserve"> </w:t>
      </w:r>
      <w:r>
        <w:t>for</w:t>
      </w:r>
      <w:r>
        <w:rPr>
          <w:spacing w:val="-2"/>
        </w:rPr>
        <w:t xml:space="preserve"> </w:t>
      </w:r>
      <w:r>
        <w:t>questions,</w:t>
      </w:r>
      <w:r>
        <w:rPr>
          <w:spacing w:val="-8"/>
        </w:rPr>
        <w:t xml:space="preserve"> </w:t>
      </w:r>
      <w:r>
        <w:t>contact:</w:t>
      </w:r>
    </w:p>
    <w:p w14:paraId="494EB52D" w14:textId="77777777" w:rsidR="00E93040" w:rsidRDefault="00E93040" w:rsidP="008721CD">
      <w:pPr>
        <w:pStyle w:val="BodyText"/>
        <w:ind w:left="246" w:right="312"/>
      </w:pPr>
    </w:p>
    <w:p w14:paraId="65470A80" w14:textId="77777777" w:rsidR="008721CD" w:rsidRPr="008721CD" w:rsidRDefault="008721CD" w:rsidP="008721CD">
      <w:pPr>
        <w:pStyle w:val="BodyText"/>
        <w:ind w:left="246" w:right="312"/>
      </w:pPr>
    </w:p>
    <w:p w14:paraId="401E943F" w14:textId="77777777" w:rsidR="008721CD" w:rsidRPr="008721CD" w:rsidRDefault="0065406B" w:rsidP="00B27F7B">
      <w:pPr>
        <w:pStyle w:val="BodyText"/>
        <w:spacing w:line="249" w:lineRule="auto"/>
        <w:ind w:left="254" w:right="6640"/>
      </w:pPr>
      <w:r>
        <w:lastRenderedPageBreak/>
        <w:t xml:space="preserve">Name: </w:t>
      </w:r>
      <w:r w:rsidR="008721CD" w:rsidRPr="008721CD">
        <w:t>Diana Abkemeier</w:t>
      </w:r>
    </w:p>
    <w:p w14:paraId="1ECCC2F6" w14:textId="38CB839F" w:rsidR="00446671" w:rsidRPr="008721CD" w:rsidRDefault="0065406B" w:rsidP="00B27F7B">
      <w:pPr>
        <w:pStyle w:val="BodyText"/>
        <w:spacing w:line="249" w:lineRule="auto"/>
        <w:ind w:left="254" w:right="6640"/>
      </w:pPr>
      <w:r w:rsidRPr="008721CD">
        <w:t>Phone: 360.</w:t>
      </w:r>
      <w:r w:rsidR="008721CD" w:rsidRPr="008721CD">
        <w:t>280.5135</w:t>
      </w:r>
    </w:p>
    <w:p w14:paraId="30602897" w14:textId="2DED6466" w:rsidR="00446671" w:rsidRDefault="0065406B">
      <w:pPr>
        <w:pStyle w:val="BodyText"/>
        <w:spacing w:before="2"/>
        <w:ind w:left="254"/>
      </w:pPr>
      <w:r w:rsidRPr="008721CD">
        <w:t>Email:</w:t>
      </w:r>
      <w:r w:rsidRPr="008721CD">
        <w:rPr>
          <w:spacing w:val="1"/>
        </w:rPr>
        <w:t xml:space="preserve"> </w:t>
      </w:r>
      <w:hyperlink r:id="rId7" w:history="1">
        <w:r w:rsidR="008721CD" w:rsidRPr="008721CD">
          <w:rPr>
            <w:rStyle w:val="Hyperlink"/>
          </w:rPr>
          <w:t>Diana.Abkemeier@des.wa.gov</w:t>
        </w:r>
      </w:hyperlink>
    </w:p>
    <w:sectPr w:rsidR="00446671">
      <w:type w:val="continuous"/>
      <w:pgSz w:w="12240" w:h="15840"/>
      <w:pgMar w:top="900" w:right="1320" w:bottom="280" w:left="122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813E2"/>
    <w:multiLevelType w:val="hybridMultilevel"/>
    <w:tmpl w:val="D81C5656"/>
    <w:lvl w:ilvl="0" w:tplc="7222FD12">
      <w:numFmt w:val="bullet"/>
      <w:lvlText w:val=""/>
      <w:lvlJc w:val="left"/>
      <w:pPr>
        <w:ind w:left="839" w:hanging="360"/>
      </w:pPr>
      <w:rPr>
        <w:rFonts w:ascii="Symbol" w:eastAsia="Symbol" w:hAnsi="Symbol" w:cs="Symbol" w:hint="default"/>
        <w:b w:val="0"/>
        <w:bCs w:val="0"/>
        <w:i w:val="0"/>
        <w:iCs w:val="0"/>
        <w:w w:val="100"/>
        <w:sz w:val="24"/>
        <w:szCs w:val="24"/>
        <w:lang w:val="en-US" w:eastAsia="en-US" w:bidi="ar-SA"/>
      </w:rPr>
    </w:lvl>
    <w:lvl w:ilvl="1" w:tplc="4EC8D1EA">
      <w:numFmt w:val="bullet"/>
      <w:lvlText w:val="•"/>
      <w:lvlJc w:val="left"/>
      <w:pPr>
        <w:ind w:left="1726" w:hanging="360"/>
      </w:pPr>
      <w:rPr>
        <w:rFonts w:hint="default"/>
        <w:lang w:val="en-US" w:eastAsia="en-US" w:bidi="ar-SA"/>
      </w:rPr>
    </w:lvl>
    <w:lvl w:ilvl="2" w:tplc="B17EBA38">
      <w:numFmt w:val="bullet"/>
      <w:lvlText w:val="•"/>
      <w:lvlJc w:val="left"/>
      <w:pPr>
        <w:ind w:left="2612" w:hanging="360"/>
      </w:pPr>
      <w:rPr>
        <w:rFonts w:hint="default"/>
        <w:lang w:val="en-US" w:eastAsia="en-US" w:bidi="ar-SA"/>
      </w:rPr>
    </w:lvl>
    <w:lvl w:ilvl="3" w:tplc="7E76F74C">
      <w:numFmt w:val="bullet"/>
      <w:lvlText w:val="•"/>
      <w:lvlJc w:val="left"/>
      <w:pPr>
        <w:ind w:left="3498" w:hanging="360"/>
      </w:pPr>
      <w:rPr>
        <w:rFonts w:hint="default"/>
        <w:lang w:val="en-US" w:eastAsia="en-US" w:bidi="ar-SA"/>
      </w:rPr>
    </w:lvl>
    <w:lvl w:ilvl="4" w:tplc="A31ACF36">
      <w:numFmt w:val="bullet"/>
      <w:lvlText w:val="•"/>
      <w:lvlJc w:val="left"/>
      <w:pPr>
        <w:ind w:left="4384" w:hanging="360"/>
      </w:pPr>
      <w:rPr>
        <w:rFonts w:hint="default"/>
        <w:lang w:val="en-US" w:eastAsia="en-US" w:bidi="ar-SA"/>
      </w:rPr>
    </w:lvl>
    <w:lvl w:ilvl="5" w:tplc="F758A652">
      <w:numFmt w:val="bullet"/>
      <w:lvlText w:val="•"/>
      <w:lvlJc w:val="left"/>
      <w:pPr>
        <w:ind w:left="5270" w:hanging="360"/>
      </w:pPr>
      <w:rPr>
        <w:rFonts w:hint="default"/>
        <w:lang w:val="en-US" w:eastAsia="en-US" w:bidi="ar-SA"/>
      </w:rPr>
    </w:lvl>
    <w:lvl w:ilvl="6" w:tplc="2C0C5822">
      <w:numFmt w:val="bullet"/>
      <w:lvlText w:val="•"/>
      <w:lvlJc w:val="left"/>
      <w:pPr>
        <w:ind w:left="6156" w:hanging="360"/>
      </w:pPr>
      <w:rPr>
        <w:rFonts w:hint="default"/>
        <w:lang w:val="en-US" w:eastAsia="en-US" w:bidi="ar-SA"/>
      </w:rPr>
    </w:lvl>
    <w:lvl w:ilvl="7" w:tplc="78525C4E">
      <w:numFmt w:val="bullet"/>
      <w:lvlText w:val="•"/>
      <w:lvlJc w:val="left"/>
      <w:pPr>
        <w:ind w:left="7042" w:hanging="360"/>
      </w:pPr>
      <w:rPr>
        <w:rFonts w:hint="default"/>
        <w:lang w:val="en-US" w:eastAsia="en-US" w:bidi="ar-SA"/>
      </w:rPr>
    </w:lvl>
    <w:lvl w:ilvl="8" w:tplc="7C4C0600">
      <w:numFmt w:val="bullet"/>
      <w:lvlText w:val="•"/>
      <w:lvlJc w:val="left"/>
      <w:pPr>
        <w:ind w:left="7928" w:hanging="360"/>
      </w:pPr>
      <w:rPr>
        <w:rFonts w:hint="default"/>
        <w:lang w:val="en-US" w:eastAsia="en-US" w:bidi="ar-SA"/>
      </w:rPr>
    </w:lvl>
  </w:abstractNum>
  <w:num w:numId="1" w16cid:durableId="91320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71"/>
    <w:rsid w:val="000559CF"/>
    <w:rsid w:val="000711B2"/>
    <w:rsid w:val="000844CD"/>
    <w:rsid w:val="000908F9"/>
    <w:rsid w:val="000A4B21"/>
    <w:rsid w:val="000F2620"/>
    <w:rsid w:val="00103722"/>
    <w:rsid w:val="00106046"/>
    <w:rsid w:val="00106086"/>
    <w:rsid w:val="00155FFA"/>
    <w:rsid w:val="001F7E4F"/>
    <w:rsid w:val="00202FE5"/>
    <w:rsid w:val="00226673"/>
    <w:rsid w:val="00233E2F"/>
    <w:rsid w:val="002A6746"/>
    <w:rsid w:val="00301CF4"/>
    <w:rsid w:val="00375993"/>
    <w:rsid w:val="003F7972"/>
    <w:rsid w:val="003F7DC4"/>
    <w:rsid w:val="004158F4"/>
    <w:rsid w:val="00417A5A"/>
    <w:rsid w:val="00446671"/>
    <w:rsid w:val="004D2778"/>
    <w:rsid w:val="005213DA"/>
    <w:rsid w:val="00521EC6"/>
    <w:rsid w:val="00533B57"/>
    <w:rsid w:val="005539C5"/>
    <w:rsid w:val="005F070D"/>
    <w:rsid w:val="0065406B"/>
    <w:rsid w:val="00676E0F"/>
    <w:rsid w:val="00692AEE"/>
    <w:rsid w:val="006A46F3"/>
    <w:rsid w:val="006B46E8"/>
    <w:rsid w:val="00734715"/>
    <w:rsid w:val="00765FA5"/>
    <w:rsid w:val="008102F1"/>
    <w:rsid w:val="00837133"/>
    <w:rsid w:val="00845376"/>
    <w:rsid w:val="00852972"/>
    <w:rsid w:val="008721CD"/>
    <w:rsid w:val="008D7B76"/>
    <w:rsid w:val="00915EBE"/>
    <w:rsid w:val="009178D8"/>
    <w:rsid w:val="00937730"/>
    <w:rsid w:val="00943296"/>
    <w:rsid w:val="009B2500"/>
    <w:rsid w:val="009B57F5"/>
    <w:rsid w:val="00A17549"/>
    <w:rsid w:val="00A94EF5"/>
    <w:rsid w:val="00AF6A90"/>
    <w:rsid w:val="00B077C0"/>
    <w:rsid w:val="00B27F7B"/>
    <w:rsid w:val="00B31633"/>
    <w:rsid w:val="00B37F23"/>
    <w:rsid w:val="00BC0E7E"/>
    <w:rsid w:val="00C852B1"/>
    <w:rsid w:val="00CD37E8"/>
    <w:rsid w:val="00D454D3"/>
    <w:rsid w:val="00D904F2"/>
    <w:rsid w:val="00E21CE4"/>
    <w:rsid w:val="00E74926"/>
    <w:rsid w:val="00E90BBF"/>
    <w:rsid w:val="00E93040"/>
    <w:rsid w:val="00E93410"/>
    <w:rsid w:val="00EB14B0"/>
    <w:rsid w:val="00EF082A"/>
    <w:rsid w:val="00FE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CE47"/>
  <w15:docId w15:val="{E62F8149-3F1C-4114-AF0F-FFA1380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9" w:hanging="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20" w:lineRule="exact"/>
      <w:ind w:left="2890" w:right="2878"/>
      <w:jc w:val="center"/>
    </w:pPr>
    <w:rPr>
      <w:sz w:val="28"/>
      <w:szCs w:val="28"/>
    </w:rPr>
  </w:style>
  <w:style w:type="paragraph" w:styleId="ListParagraph">
    <w:name w:val="List Paragraph"/>
    <w:basedOn w:val="Normal"/>
    <w:uiPriority w:val="1"/>
    <w:qFormat/>
    <w:pPr>
      <w:ind w:left="839" w:right="37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7F7B"/>
    <w:rPr>
      <w:color w:val="0000FF" w:themeColor="hyperlink"/>
      <w:u w:val="single"/>
    </w:rPr>
  </w:style>
  <w:style w:type="character" w:styleId="UnresolvedMention">
    <w:name w:val="Unresolved Mention"/>
    <w:basedOn w:val="DefaultParagraphFont"/>
    <w:uiPriority w:val="99"/>
    <w:semiHidden/>
    <w:unhideWhenUsed/>
    <w:rsid w:val="00B27F7B"/>
    <w:rPr>
      <w:color w:val="605E5C"/>
      <w:shd w:val="clear" w:color="auto" w:fill="E1DFDD"/>
    </w:rPr>
  </w:style>
  <w:style w:type="character" w:styleId="CommentReference">
    <w:name w:val="annotation reference"/>
    <w:basedOn w:val="DefaultParagraphFont"/>
    <w:uiPriority w:val="99"/>
    <w:semiHidden/>
    <w:unhideWhenUsed/>
    <w:rsid w:val="00B27F7B"/>
    <w:rPr>
      <w:sz w:val="16"/>
      <w:szCs w:val="16"/>
    </w:rPr>
  </w:style>
  <w:style w:type="paragraph" w:styleId="CommentText">
    <w:name w:val="annotation text"/>
    <w:basedOn w:val="Normal"/>
    <w:link w:val="CommentTextChar"/>
    <w:uiPriority w:val="99"/>
    <w:unhideWhenUsed/>
    <w:rsid w:val="00B27F7B"/>
    <w:rPr>
      <w:sz w:val="20"/>
      <w:szCs w:val="20"/>
    </w:rPr>
  </w:style>
  <w:style w:type="character" w:customStyle="1" w:styleId="CommentTextChar">
    <w:name w:val="Comment Text Char"/>
    <w:basedOn w:val="DefaultParagraphFont"/>
    <w:link w:val="CommentText"/>
    <w:uiPriority w:val="99"/>
    <w:rsid w:val="00B27F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7F7B"/>
    <w:rPr>
      <w:b/>
      <w:bCs/>
    </w:rPr>
  </w:style>
  <w:style w:type="character" w:customStyle="1" w:styleId="CommentSubjectChar">
    <w:name w:val="Comment Subject Char"/>
    <w:basedOn w:val="CommentTextChar"/>
    <w:link w:val="CommentSubject"/>
    <w:uiPriority w:val="99"/>
    <w:semiHidden/>
    <w:rsid w:val="00B27F7B"/>
    <w:rPr>
      <w:rFonts w:ascii="Times New Roman" w:eastAsia="Times New Roman" w:hAnsi="Times New Roman" w:cs="Times New Roman"/>
      <w:b/>
      <w:bCs/>
      <w:sz w:val="20"/>
      <w:szCs w:val="20"/>
    </w:rPr>
  </w:style>
  <w:style w:type="paragraph" w:styleId="Revision">
    <w:name w:val="Revision"/>
    <w:hidden/>
    <w:uiPriority w:val="99"/>
    <w:semiHidden/>
    <w:rsid w:val="00C852B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ana.Abkemeier@des.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ED07-B9E9-4ACE-B575-310A714F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Sole Source Posting for WEBS</vt:lpstr>
    </vt:vector>
  </TitlesOfParts>
  <Company>DES</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Sole Source Posting for WEBS</dc:title>
  <dc:subject/>
  <dc:creator>OFM Contract Services</dc:creator>
  <cp:keywords/>
  <dc:description/>
  <cp:lastModifiedBy>Abkemeier, Diana (DES)</cp:lastModifiedBy>
  <cp:revision>8</cp:revision>
  <dcterms:created xsi:type="dcterms:W3CDTF">2025-05-27T16:42:00Z</dcterms:created>
  <dcterms:modified xsi:type="dcterms:W3CDTF">2025-06-17T15:01:00Z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17 for Word</vt:lpwstr>
  </property>
  <property fmtid="{D5CDD505-2E9C-101B-9397-08002B2CF9AE}" pid="4" name="LastSaved">
    <vt:filetime>2021-08-19T00:00:00Z</vt:filetime>
  </property>
  <property fmtid="{D5CDD505-2E9C-101B-9397-08002B2CF9AE}" pid="5" name="GrammarlyDocumentId">
    <vt:lpwstr>3af6cbf245e315026a36914470a45b8d21035314447eebe11ec2c8321076e684</vt:lpwstr>
  </property>
</Properties>
</file>