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C9C6" w14:textId="477E9B75" w:rsidR="004E1B6D" w:rsidRPr="00E54934" w:rsidRDefault="00BA51FC" w:rsidP="004E1B6D">
      <w:pPr>
        <w:pStyle w:val="Subtitle"/>
        <w:spacing w:after="0"/>
        <w:rPr>
          <w:rFonts w:asciiTheme="minorHAnsi" w:hAnsiTheme="minorHAnsi" w:cstheme="minorHAnsi"/>
          <w:b w:val="0"/>
        </w:rPr>
      </w:pPr>
      <w:bookmarkStart w:id="0" w:name="_GoBack"/>
      <w:bookmarkEnd w:id="0"/>
      <w:r>
        <w:rPr>
          <w:rFonts w:asciiTheme="minorHAnsi" w:hAnsiTheme="minorHAnsi" w:cstheme="minorHAnsi"/>
        </w:rPr>
        <w:t>Enterprise Services Procedure</w:t>
      </w:r>
      <w:r w:rsidR="004E1B6D" w:rsidRPr="00D0246A">
        <w:rPr>
          <w:rFonts w:asciiTheme="minorHAnsi" w:hAnsiTheme="minorHAnsi" w:cstheme="minorHAnsi"/>
        </w:rPr>
        <w:t xml:space="preserve"> No. </w:t>
      </w:r>
      <w:r w:rsidR="009D1C56">
        <w:rPr>
          <w:rFonts w:asciiTheme="minorHAnsi" w:hAnsiTheme="minorHAnsi" w:cstheme="minorHAnsi"/>
        </w:rPr>
        <w:t xml:space="preserve"> PRO</w:t>
      </w:r>
      <w:r w:rsidR="00DD2BF1">
        <w:rPr>
          <w:rFonts w:asciiTheme="minorHAnsi" w:hAnsiTheme="minorHAnsi" w:cstheme="minorHAnsi"/>
        </w:rPr>
        <w:t>-DES-255-00A</w:t>
      </w:r>
    </w:p>
    <w:p w14:paraId="20F37CDC" w14:textId="6BBE6928" w:rsidR="00C74FB1" w:rsidRDefault="00DD2BF1" w:rsidP="000563A2">
      <w:pPr>
        <w:pStyle w:val="Title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Recycled Content Purchasing Preference</w:t>
      </w:r>
      <w:r w:rsidR="003D44E4" w:rsidRPr="00D64E71">
        <w:rPr>
          <w:rFonts w:ascii="Calibri" w:hAnsi="Calibri"/>
          <w:color w:val="auto"/>
        </w:rPr>
        <w:t xml:space="preserve"> </w:t>
      </w:r>
      <w:r w:rsidR="009D1C56">
        <w:rPr>
          <w:rFonts w:ascii="Calibri" w:hAnsi="Calibri"/>
          <w:color w:val="auto"/>
        </w:rPr>
        <w:t>Procedure</w:t>
      </w:r>
    </w:p>
    <w:p w14:paraId="541D7C58" w14:textId="649485CA" w:rsidR="00263717" w:rsidRPr="00263717" w:rsidRDefault="00263717" w:rsidP="00263717">
      <w:pPr>
        <w:rPr>
          <w:rFonts w:ascii="Calibri" w:hAnsi="Calibri" w:cs="Calibri"/>
        </w:rPr>
      </w:pPr>
      <w:r w:rsidRPr="00263717">
        <w:rPr>
          <w:rFonts w:ascii="Calibri" w:hAnsi="Calibri" w:cs="Calibri"/>
          <w:b/>
        </w:rPr>
        <w:t>Applies To</w:t>
      </w:r>
      <w:r w:rsidRPr="00263717">
        <w:rPr>
          <w:rFonts w:ascii="Calibri" w:hAnsi="Calibri" w:cs="Calibri"/>
        </w:rPr>
        <w:t>:</w:t>
      </w:r>
      <w:r w:rsidRPr="00263717">
        <w:rPr>
          <w:rFonts w:ascii="Calibri" w:hAnsi="Calibri" w:cs="Calibri"/>
        </w:rPr>
        <w:tab/>
        <w:t xml:space="preserve">Agencies when </w:t>
      </w:r>
      <w:r w:rsidR="00DD2BF1">
        <w:rPr>
          <w:rFonts w:ascii="Calibri" w:hAnsi="Calibri" w:cs="Calibri"/>
        </w:rPr>
        <w:t>conducting a competitive solicitation for products containing recycled material</w:t>
      </w:r>
      <w:r w:rsidRPr="00263717">
        <w:rPr>
          <w:rFonts w:ascii="Calibri" w:hAnsi="Calibri" w:cs="Calibri"/>
        </w:rPr>
        <w:t>, in accorda</w:t>
      </w:r>
      <w:r w:rsidR="00DD2BF1">
        <w:rPr>
          <w:rFonts w:ascii="Calibri" w:hAnsi="Calibri" w:cs="Calibri"/>
        </w:rPr>
        <w:t>nce with DES Policy #POL-DES-255</w:t>
      </w:r>
      <w:r w:rsidRPr="00263717">
        <w:rPr>
          <w:rFonts w:ascii="Calibri" w:hAnsi="Calibri" w:cs="Calibri"/>
        </w:rPr>
        <w:t>-00.</w:t>
      </w:r>
    </w:p>
    <w:p w14:paraId="0A38136A" w14:textId="45870667" w:rsidR="00263717" w:rsidRPr="00263717" w:rsidRDefault="00263717" w:rsidP="00263717">
      <w:pPr>
        <w:rPr>
          <w:rFonts w:ascii="Calibri" w:hAnsi="Calibri" w:cs="Calibri"/>
        </w:rPr>
      </w:pPr>
      <w:r w:rsidRPr="002E627B">
        <w:rPr>
          <w:rFonts w:ascii="Calibri" w:hAnsi="Calibri" w:cs="Calibri"/>
          <w:b/>
        </w:rPr>
        <w:t>Effective Date</w:t>
      </w:r>
      <w:r w:rsidR="00E712AB">
        <w:rPr>
          <w:rFonts w:ascii="Calibri" w:hAnsi="Calibri" w:cs="Calibri"/>
        </w:rPr>
        <w:t>:</w:t>
      </w:r>
      <w:r w:rsidR="00E712AB">
        <w:rPr>
          <w:rFonts w:ascii="Calibri" w:hAnsi="Calibri" w:cs="Calibri"/>
        </w:rPr>
        <w:tab/>
      </w:r>
      <w:r w:rsidR="00E712AB" w:rsidRPr="00E712AB">
        <w:rPr>
          <w:rFonts w:ascii="Calibri" w:hAnsi="Calibri" w:cs="Calibri"/>
          <w:highlight w:val="yellow"/>
        </w:rPr>
        <w:t>_____________</w:t>
      </w:r>
      <w:r w:rsidRPr="00263717">
        <w:rPr>
          <w:rFonts w:ascii="Calibri" w:hAnsi="Calibri" w:cs="Calibri"/>
        </w:rPr>
        <w:t xml:space="preserve"> 2019</w:t>
      </w:r>
    </w:p>
    <w:p w14:paraId="244D7C03" w14:textId="77777777" w:rsidR="00263717" w:rsidRPr="00263717" w:rsidRDefault="00263717" w:rsidP="00263717">
      <w:pPr>
        <w:rPr>
          <w:rFonts w:ascii="Calibri" w:hAnsi="Calibri" w:cs="Calibri"/>
        </w:rPr>
      </w:pPr>
      <w:r w:rsidRPr="00263717">
        <w:rPr>
          <w:rFonts w:ascii="Calibri" w:hAnsi="Calibri" w:cs="Calibri"/>
          <w:b/>
        </w:rPr>
        <w:t>Last Update</w:t>
      </w:r>
      <w:r w:rsidRPr="00263717">
        <w:rPr>
          <w:rFonts w:ascii="Calibri" w:hAnsi="Calibri" w:cs="Calibri"/>
        </w:rPr>
        <w:t>:</w:t>
      </w:r>
      <w:r w:rsidRPr="00263717">
        <w:rPr>
          <w:rFonts w:ascii="Calibri" w:hAnsi="Calibri" w:cs="Calibri"/>
        </w:rPr>
        <w:tab/>
        <w:t>N/A</w:t>
      </w:r>
    </w:p>
    <w:p w14:paraId="4B9B42E6" w14:textId="752E82BA" w:rsidR="00263717" w:rsidRPr="00263717" w:rsidRDefault="00263717" w:rsidP="00263717">
      <w:pPr>
        <w:rPr>
          <w:rFonts w:ascii="Calibri" w:hAnsi="Calibri" w:cs="Calibri"/>
        </w:rPr>
      </w:pPr>
      <w:r w:rsidRPr="00263717">
        <w:rPr>
          <w:rFonts w:ascii="Calibri" w:hAnsi="Calibri" w:cs="Calibri"/>
          <w:b/>
        </w:rPr>
        <w:t>Sunset Review Date</w:t>
      </w:r>
      <w:r w:rsidRPr="00263717">
        <w:rPr>
          <w:rFonts w:ascii="Calibri" w:hAnsi="Calibri" w:cs="Calibri"/>
        </w:rPr>
        <w:t>:</w:t>
      </w:r>
      <w:r w:rsidRPr="00263717">
        <w:rPr>
          <w:rFonts w:ascii="Calibri" w:hAnsi="Calibri" w:cs="Calibri"/>
        </w:rPr>
        <w:tab/>
      </w:r>
      <w:r w:rsidR="00E712AB" w:rsidRPr="00E712AB">
        <w:rPr>
          <w:rFonts w:ascii="Calibri" w:hAnsi="Calibri" w:cs="Calibri"/>
          <w:sz w:val="20"/>
          <w:highlight w:val="yellow"/>
        </w:rPr>
        <w:t>{</w:t>
      </w:r>
      <w:r w:rsidRPr="00E712AB">
        <w:rPr>
          <w:rFonts w:ascii="Calibri" w:hAnsi="Calibri" w:cs="Calibri"/>
          <w:highlight w:val="yellow"/>
        </w:rPr>
        <w:t>5 years from effective date</w:t>
      </w:r>
      <w:r w:rsidR="00E712AB" w:rsidRPr="00E712AB">
        <w:rPr>
          <w:rFonts w:ascii="Calibri" w:hAnsi="Calibri" w:cs="Calibri"/>
          <w:highlight w:val="yellow"/>
        </w:rPr>
        <w:t>}</w:t>
      </w:r>
    </w:p>
    <w:p w14:paraId="740F13AB" w14:textId="5260030E" w:rsidR="00263717" w:rsidRPr="00263717" w:rsidRDefault="00263717" w:rsidP="00263717">
      <w:r w:rsidRPr="00263717">
        <w:rPr>
          <w:rFonts w:ascii="Calibri" w:hAnsi="Calibri" w:cs="Calibri"/>
        </w:rPr>
        <w:t>Approved By:  _______________________________</w:t>
      </w:r>
      <w:r w:rsidR="00BC2830">
        <w:rPr>
          <w:rFonts w:ascii="Calibri" w:hAnsi="Calibri" w:cs="Calibri"/>
        </w:rPr>
        <w:t>____________ Chris Liu, Director</w:t>
      </w:r>
    </w:p>
    <w:p w14:paraId="64F64FC0" w14:textId="27454ACE" w:rsidR="004E1B6D" w:rsidRDefault="004E1B6D" w:rsidP="00BC2830">
      <w:pPr>
        <w:spacing w:after="0"/>
        <w:rPr>
          <w:rFonts w:asciiTheme="minorHAnsi" w:hAnsiTheme="minorHAnsi" w:cstheme="minorHAnsi"/>
          <w:b/>
          <w:sz w:val="28"/>
        </w:rPr>
      </w:pPr>
      <w:bookmarkStart w:id="1" w:name="Tasks"/>
    </w:p>
    <w:p w14:paraId="28539BA7" w14:textId="77777777" w:rsidR="00616ADC" w:rsidRDefault="00616ADC" w:rsidP="00BC2830">
      <w:pPr>
        <w:spacing w:after="0"/>
        <w:rPr>
          <w:rFonts w:asciiTheme="minorHAnsi" w:hAnsiTheme="minorHAnsi" w:cstheme="minorHAnsi"/>
          <w:b/>
          <w:sz w:val="28"/>
        </w:rPr>
      </w:pPr>
    </w:p>
    <w:p w14:paraId="20F37CF9" w14:textId="6ED6F811" w:rsidR="00280AA0" w:rsidRDefault="00E712AB" w:rsidP="00BC2830">
      <w:pPr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RECYCLED</w:t>
      </w:r>
      <w:r w:rsidR="00903FFB">
        <w:rPr>
          <w:rFonts w:asciiTheme="minorHAnsi" w:hAnsiTheme="minorHAnsi" w:cstheme="minorHAnsi"/>
          <w:b/>
          <w:sz w:val="28"/>
        </w:rPr>
        <w:t xml:space="preserve"> CONTENT PURCHASING PREFERENCE PROCEDURE</w:t>
      </w:r>
      <w:r w:rsidR="00BC2830">
        <w:rPr>
          <w:rFonts w:asciiTheme="minorHAnsi" w:hAnsiTheme="minorHAnsi" w:cstheme="minorHAnsi"/>
          <w:b/>
          <w:sz w:val="28"/>
        </w:rPr>
        <w:t xml:space="preserve">: </w:t>
      </w:r>
      <w:r>
        <w:rPr>
          <w:rFonts w:asciiTheme="minorHAnsi" w:hAnsiTheme="minorHAnsi" w:cstheme="minorHAnsi"/>
          <w:b/>
          <w:sz w:val="28"/>
        </w:rPr>
        <w:t>APPLYING THE PREFERENCE</w:t>
      </w:r>
    </w:p>
    <w:p w14:paraId="36CC8E6F" w14:textId="08238BE8" w:rsidR="004E1B6D" w:rsidRDefault="004E1B6D" w:rsidP="004E1B6D">
      <w:pPr>
        <w:spacing w:after="0"/>
        <w:ind w:left="270"/>
        <w:rPr>
          <w:rFonts w:asciiTheme="minorHAnsi" w:hAnsiTheme="minorHAnsi" w:cstheme="minorHAnsi"/>
          <w:b/>
          <w:sz w:val="28"/>
        </w:rPr>
      </w:pPr>
    </w:p>
    <w:p w14:paraId="251FCD26" w14:textId="7BFA9B85" w:rsidR="002E627B" w:rsidRDefault="002E627B" w:rsidP="004E1B6D">
      <w:pPr>
        <w:pStyle w:val="NoSpacing"/>
        <w:spacing w:after="100" w:afterAutospacing="1"/>
        <w:ind w:left="270" w:right="106"/>
        <w:jc w:val="both"/>
        <w:rPr>
          <w:rFonts w:cstheme="minorHAnsi"/>
          <w:sz w:val="28"/>
        </w:rPr>
      </w:pPr>
      <w:r w:rsidRPr="002E627B">
        <w:rPr>
          <w:rFonts w:cstheme="minorHAnsi"/>
          <w:sz w:val="28"/>
        </w:rPr>
        <w:t xml:space="preserve">Action </w:t>
      </w:r>
      <w:proofErr w:type="gramStart"/>
      <w:r w:rsidRPr="002E627B">
        <w:rPr>
          <w:rFonts w:cstheme="minorHAnsi"/>
          <w:sz w:val="28"/>
        </w:rPr>
        <w:t>By</w:t>
      </w:r>
      <w:proofErr w:type="gramEnd"/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Action</w:t>
      </w:r>
    </w:p>
    <w:p w14:paraId="656776EF" w14:textId="77777777" w:rsidR="00B41457" w:rsidRDefault="00ED20FD" w:rsidP="00ED20FD">
      <w:pPr>
        <w:pStyle w:val="NoSpacing"/>
        <w:ind w:left="2880" w:right="106" w:hanging="2610"/>
        <w:rPr>
          <w:rFonts w:cstheme="minorHAnsi"/>
          <w:b/>
        </w:rPr>
      </w:pPr>
      <w:r>
        <w:rPr>
          <w:rFonts w:cstheme="minorHAnsi"/>
          <w:b/>
        </w:rPr>
        <w:t>Agency</w:t>
      </w:r>
      <w:r>
        <w:rPr>
          <w:rFonts w:cstheme="minorHAnsi"/>
          <w:b/>
        </w:rPr>
        <w:tab/>
      </w:r>
    </w:p>
    <w:p w14:paraId="6FD988AE" w14:textId="4910431F" w:rsidR="002E627B" w:rsidRDefault="002E627B" w:rsidP="00470D3B">
      <w:pPr>
        <w:pStyle w:val="NoSpacing"/>
        <w:ind w:left="3240" w:right="106" w:hanging="360"/>
        <w:rPr>
          <w:rFonts w:ascii="Calibri" w:hAnsi="Calibri" w:cstheme="minorHAnsi"/>
        </w:rPr>
      </w:pPr>
      <w:r w:rsidRPr="00B41457">
        <w:rPr>
          <w:color w:val="333333"/>
        </w:rPr>
        <w:t xml:space="preserve">1.   </w:t>
      </w:r>
      <w:r w:rsidR="00470D3B">
        <w:rPr>
          <w:color w:val="333333"/>
        </w:rPr>
        <w:t xml:space="preserve"> </w:t>
      </w:r>
      <w:r w:rsidR="00370DC1">
        <w:rPr>
          <w:color w:val="333333"/>
        </w:rPr>
        <w:t>Review the</w:t>
      </w:r>
      <w:r w:rsidR="00370DC1">
        <w:rPr>
          <w:rFonts w:cstheme="minorHAnsi"/>
        </w:rPr>
        <w:t xml:space="preserve"> </w:t>
      </w:r>
      <w:hyperlink r:id="rId11" w:anchor="products" w:history="1">
        <w:r w:rsidR="00370DC1" w:rsidRPr="006E14E0">
          <w:rPr>
            <w:rStyle w:val="Hyperlink"/>
            <w:rFonts w:cstheme="minorHAnsi"/>
          </w:rPr>
          <w:t>Environmental Protection Agency’s (EPA) Comprehensive Procurement Guideline (CPG) Program</w:t>
        </w:r>
      </w:hyperlink>
      <w:r w:rsidR="00370DC1">
        <w:rPr>
          <w:rFonts w:cstheme="minorHAnsi"/>
        </w:rPr>
        <w:t xml:space="preserve"> </w:t>
      </w:r>
      <w:r w:rsidR="00ED20FD">
        <w:rPr>
          <w:color w:val="333333"/>
        </w:rPr>
        <w:t xml:space="preserve">to determine if the items to be purchased fall under the </w:t>
      </w:r>
      <w:r w:rsidR="00370DC1">
        <w:rPr>
          <w:color w:val="333333"/>
        </w:rPr>
        <w:t xml:space="preserve">designated product </w:t>
      </w:r>
      <w:proofErr w:type="gramStart"/>
      <w:r w:rsidR="00370DC1">
        <w:rPr>
          <w:color w:val="333333"/>
        </w:rPr>
        <w:t>category(</w:t>
      </w:r>
      <w:proofErr w:type="spellStart"/>
      <w:proofErr w:type="gramEnd"/>
      <w:r w:rsidR="00370DC1">
        <w:rPr>
          <w:color w:val="333333"/>
        </w:rPr>
        <w:t>ies</w:t>
      </w:r>
      <w:proofErr w:type="spellEnd"/>
      <w:r w:rsidR="00370DC1">
        <w:rPr>
          <w:color w:val="333333"/>
        </w:rPr>
        <w:t>)</w:t>
      </w:r>
      <w:r w:rsidR="00ED20FD">
        <w:rPr>
          <w:color w:val="333333"/>
        </w:rPr>
        <w:t xml:space="preserve">. If so, click the product category to display the most current </w:t>
      </w:r>
      <w:r w:rsidR="00370DC1">
        <w:rPr>
          <w:color w:val="333333"/>
        </w:rPr>
        <w:t>EPA CPG recommended content level percentages</w:t>
      </w:r>
      <w:r w:rsidR="00ED20FD">
        <w:rPr>
          <w:color w:val="333333"/>
        </w:rPr>
        <w:t xml:space="preserve"> </w:t>
      </w:r>
      <w:r w:rsidR="00087C8C">
        <w:rPr>
          <w:color w:val="333333"/>
        </w:rPr>
        <w:t xml:space="preserve">for the commodity </w:t>
      </w:r>
      <w:proofErr w:type="gramStart"/>
      <w:r w:rsidR="00087C8C">
        <w:rPr>
          <w:color w:val="333333"/>
        </w:rPr>
        <w:t>in</w:t>
      </w:r>
      <w:proofErr w:type="gramEnd"/>
      <w:r w:rsidR="00087C8C">
        <w:rPr>
          <w:color w:val="333333"/>
        </w:rPr>
        <w:t xml:space="preserve"> need. </w:t>
      </w:r>
    </w:p>
    <w:p w14:paraId="075D61A4" w14:textId="77777777" w:rsidR="002E627B" w:rsidRDefault="002E627B" w:rsidP="002E627B">
      <w:pPr>
        <w:pStyle w:val="NoSpacing"/>
        <w:ind w:left="720" w:right="106"/>
        <w:rPr>
          <w:rFonts w:ascii="Calibri" w:hAnsi="Calibri" w:cstheme="minorHAnsi"/>
        </w:rPr>
      </w:pPr>
    </w:p>
    <w:p w14:paraId="24778FBF" w14:textId="4A050999" w:rsidR="002E627B" w:rsidRDefault="00ED20FD" w:rsidP="002E627B">
      <w:pPr>
        <w:pStyle w:val="NoSpacing"/>
        <w:numPr>
          <w:ilvl w:val="0"/>
          <w:numId w:val="29"/>
        </w:numPr>
        <w:ind w:right="106"/>
        <w:rPr>
          <w:rFonts w:ascii="Calibri" w:hAnsi="Calibri" w:cstheme="minorHAnsi"/>
        </w:rPr>
      </w:pPr>
      <w:r>
        <w:rPr>
          <w:color w:val="333333"/>
        </w:rPr>
        <w:t xml:space="preserve">Use the </w:t>
      </w:r>
      <w:r w:rsidR="00DE298D">
        <w:rPr>
          <w:color w:val="333333"/>
        </w:rPr>
        <w:t xml:space="preserve">EPA </w:t>
      </w:r>
      <w:r>
        <w:rPr>
          <w:color w:val="333333"/>
        </w:rPr>
        <w:t>CPG</w:t>
      </w:r>
      <w:r w:rsidR="002A568E">
        <w:rPr>
          <w:color w:val="333333"/>
        </w:rPr>
        <w:t xml:space="preserve"> Recommended Recovered Content Levels</w:t>
      </w:r>
      <w:r w:rsidR="00DE298D">
        <w:rPr>
          <w:color w:val="333333"/>
        </w:rPr>
        <w:t xml:space="preserve"> “</w:t>
      </w:r>
      <w:r w:rsidR="002A568E">
        <w:rPr>
          <w:color w:val="333333"/>
        </w:rPr>
        <w:t>Post-Consumer</w:t>
      </w:r>
      <w:r w:rsidR="00DE298D">
        <w:rPr>
          <w:color w:val="333333"/>
        </w:rPr>
        <w:t xml:space="preserve">” and </w:t>
      </w:r>
      <w:r>
        <w:rPr>
          <w:color w:val="333333"/>
        </w:rPr>
        <w:t>“To</w:t>
      </w:r>
      <w:r w:rsidR="00DE298D">
        <w:rPr>
          <w:color w:val="333333"/>
        </w:rPr>
        <w:t>tal Recovered” percentage</w:t>
      </w:r>
      <w:r>
        <w:rPr>
          <w:color w:val="333333"/>
        </w:rPr>
        <w:t xml:space="preserve"> ranges as the basis for establishing </w:t>
      </w:r>
      <w:r w:rsidRPr="003463B6">
        <w:rPr>
          <w:color w:val="333333"/>
        </w:rPr>
        <w:t>minimum recycled content levels and preference eligibility</w:t>
      </w:r>
      <w:r>
        <w:rPr>
          <w:color w:val="333333"/>
        </w:rPr>
        <w:t>. Only those products that</w:t>
      </w:r>
      <w:r w:rsidR="00DE298D">
        <w:rPr>
          <w:color w:val="333333"/>
        </w:rPr>
        <w:t xml:space="preserve"> </w:t>
      </w:r>
      <w:r w:rsidRPr="00346E0A">
        <w:rPr>
          <w:b/>
          <w:color w:val="333333"/>
        </w:rPr>
        <w:t>exceed</w:t>
      </w:r>
      <w:r>
        <w:rPr>
          <w:color w:val="333333"/>
        </w:rPr>
        <w:t xml:space="preserve"> the minimum </w:t>
      </w:r>
      <w:r w:rsidR="00DE298D">
        <w:rPr>
          <w:color w:val="333333"/>
        </w:rPr>
        <w:t xml:space="preserve">recovered </w:t>
      </w:r>
      <w:r>
        <w:rPr>
          <w:color w:val="333333"/>
        </w:rPr>
        <w:t>content levels</w:t>
      </w:r>
      <w:r w:rsidR="00D90591">
        <w:rPr>
          <w:color w:val="333333"/>
        </w:rPr>
        <w:t>, and otherwise</w:t>
      </w:r>
      <w:r w:rsidR="0065598B">
        <w:rPr>
          <w:color w:val="333333"/>
        </w:rPr>
        <w:t xml:space="preserve"> </w:t>
      </w:r>
      <w:r w:rsidR="00D90591">
        <w:rPr>
          <w:color w:val="333333"/>
        </w:rPr>
        <w:t>be at least functionally equal to all other specifications and use requirements,</w:t>
      </w:r>
      <w:r>
        <w:rPr>
          <w:color w:val="333333"/>
        </w:rPr>
        <w:t xml:space="preserve"> will be eligible for the preference. If no ranges </w:t>
      </w:r>
      <w:proofErr w:type="gramStart"/>
      <w:r>
        <w:rPr>
          <w:color w:val="333333"/>
        </w:rPr>
        <w:t>are listed</w:t>
      </w:r>
      <w:proofErr w:type="gramEnd"/>
      <w:r>
        <w:rPr>
          <w:color w:val="333333"/>
        </w:rPr>
        <w:t>, the minimum acceptable recovered content range must be at least 15%. Apply all other recommendations included in the CPG as sound professional judgment dictates.</w:t>
      </w:r>
    </w:p>
    <w:p w14:paraId="62CBEE8A" w14:textId="77777777" w:rsidR="00470D3B" w:rsidRDefault="00470D3B" w:rsidP="00470D3B">
      <w:pPr>
        <w:pStyle w:val="TableParagraph"/>
        <w:ind w:right="90"/>
        <w:rPr>
          <w:color w:val="333333"/>
        </w:rPr>
      </w:pPr>
    </w:p>
    <w:p w14:paraId="33D3CBF6" w14:textId="0266113A" w:rsidR="00470D3B" w:rsidRPr="00470D3B" w:rsidRDefault="00470D3B" w:rsidP="00BB4F38">
      <w:pPr>
        <w:pStyle w:val="TableParagraph"/>
        <w:numPr>
          <w:ilvl w:val="0"/>
          <w:numId w:val="29"/>
        </w:numPr>
        <w:ind w:right="106"/>
        <w:jc w:val="both"/>
        <w:rPr>
          <w:rFonts w:ascii="Calibri" w:hAnsi="Calibri"/>
        </w:rPr>
      </w:pPr>
      <w:r>
        <w:rPr>
          <w:color w:val="333333"/>
        </w:rPr>
        <w:t xml:space="preserve">Add language to the solicitation.  </w:t>
      </w:r>
      <w:r w:rsidRPr="00470D3B">
        <w:rPr>
          <w:color w:val="333333"/>
        </w:rPr>
        <w:t xml:space="preserve">The solicitation must alert bidders of the available preference and the minimum recycled content levels that </w:t>
      </w:r>
      <w:proofErr w:type="gramStart"/>
      <w:r w:rsidRPr="00470D3B">
        <w:rPr>
          <w:color w:val="333333"/>
        </w:rPr>
        <w:t>must be exceeded</w:t>
      </w:r>
      <w:proofErr w:type="gramEnd"/>
      <w:r w:rsidRPr="00470D3B">
        <w:rPr>
          <w:color w:val="333333"/>
        </w:rPr>
        <w:t xml:space="preserve"> to receive the preference.</w:t>
      </w:r>
    </w:p>
    <w:p w14:paraId="341731C5" w14:textId="77777777" w:rsidR="00470D3B" w:rsidRPr="00470D3B" w:rsidRDefault="00470D3B" w:rsidP="00470D3B">
      <w:pPr>
        <w:pStyle w:val="TableParagraph"/>
        <w:ind w:left="3240" w:right="106"/>
        <w:jc w:val="both"/>
        <w:rPr>
          <w:rFonts w:ascii="Calibri" w:hAnsi="Calibri"/>
        </w:rPr>
      </w:pPr>
    </w:p>
    <w:p w14:paraId="7A7B2234" w14:textId="10376B12" w:rsidR="002E627B" w:rsidRPr="00470D3B" w:rsidRDefault="00470D3B" w:rsidP="00BB4F38">
      <w:pPr>
        <w:pStyle w:val="TableParagraph"/>
        <w:numPr>
          <w:ilvl w:val="0"/>
          <w:numId w:val="29"/>
        </w:numPr>
        <w:ind w:right="106"/>
        <w:jc w:val="both"/>
        <w:rPr>
          <w:rFonts w:ascii="Calibri" w:hAnsi="Calibri"/>
        </w:rPr>
      </w:pPr>
      <w:r>
        <w:rPr>
          <w:color w:val="333333"/>
        </w:rPr>
        <w:t xml:space="preserve">Obtain documentation from the bidder. </w:t>
      </w:r>
      <w:r w:rsidRPr="00470D3B">
        <w:rPr>
          <w:color w:val="333333"/>
        </w:rPr>
        <w:t xml:space="preserve">Product literature or written correspondence from the product producer </w:t>
      </w:r>
      <w:proofErr w:type="gramStart"/>
      <w:r w:rsidRPr="00470D3B">
        <w:rPr>
          <w:color w:val="333333"/>
        </w:rPr>
        <w:t>must be provided</w:t>
      </w:r>
      <w:proofErr w:type="gramEnd"/>
      <w:r w:rsidRPr="00470D3B">
        <w:rPr>
          <w:color w:val="333333"/>
        </w:rPr>
        <w:t xml:space="preserve"> with the bid to validate price preference eligibility.</w:t>
      </w:r>
    </w:p>
    <w:p w14:paraId="21DC01E1" w14:textId="5BFA4366" w:rsidR="00470D3B" w:rsidRPr="00470D3B" w:rsidRDefault="00470D3B" w:rsidP="00470D3B">
      <w:pPr>
        <w:pStyle w:val="TableParagraph"/>
        <w:ind w:right="106"/>
        <w:jc w:val="both"/>
        <w:rPr>
          <w:rFonts w:ascii="Calibri" w:hAnsi="Calibri"/>
        </w:rPr>
      </w:pPr>
    </w:p>
    <w:p w14:paraId="700D4919" w14:textId="77777777" w:rsidR="00470D3B" w:rsidRDefault="00470D3B" w:rsidP="00727344">
      <w:pPr>
        <w:pStyle w:val="TableParagraph"/>
        <w:numPr>
          <w:ilvl w:val="0"/>
          <w:numId w:val="29"/>
        </w:numPr>
        <w:ind w:right="90"/>
        <w:rPr>
          <w:color w:val="333333"/>
        </w:rPr>
      </w:pPr>
      <w:r w:rsidRPr="00470D3B">
        <w:rPr>
          <w:color w:val="333333"/>
        </w:rPr>
        <w:t xml:space="preserve">Apply the preference at time of bid evaluation.  </w:t>
      </w:r>
      <w:r w:rsidR="00CE5014" w:rsidRPr="00470D3B">
        <w:rPr>
          <w:color w:val="333333"/>
        </w:rPr>
        <w:t xml:space="preserve">When scoring the bid price of qualifying bidders, a </w:t>
      </w:r>
      <w:r w:rsidR="00CE5014" w:rsidRPr="00470D3B">
        <w:rPr>
          <w:b/>
          <w:color w:val="333333"/>
        </w:rPr>
        <w:t>10% price reduction</w:t>
      </w:r>
      <w:r w:rsidR="00CE5014" w:rsidRPr="00470D3B">
        <w:rPr>
          <w:color w:val="333333"/>
        </w:rPr>
        <w:t xml:space="preserve"> is to </w:t>
      </w:r>
      <w:proofErr w:type="gramStart"/>
      <w:r w:rsidR="00CE5014" w:rsidRPr="00470D3B">
        <w:rPr>
          <w:color w:val="333333"/>
        </w:rPr>
        <w:t>be applied</w:t>
      </w:r>
      <w:proofErr w:type="gramEnd"/>
      <w:r w:rsidR="00CE5014" w:rsidRPr="00470D3B">
        <w:rPr>
          <w:color w:val="333333"/>
        </w:rPr>
        <w:t xml:space="preserve"> to those bidder’s items that qualify for the recycled content preference, but only for price evaluation purposes. This preference is to be separate from and applied after any other </w:t>
      </w:r>
      <w:r w:rsidR="00CE5014" w:rsidRPr="00470D3B">
        <w:rPr>
          <w:color w:val="333333"/>
        </w:rPr>
        <w:lastRenderedPageBreak/>
        <w:t>preferences allowed by statue.</w:t>
      </w:r>
    </w:p>
    <w:p w14:paraId="0C573ED4" w14:textId="316AFA33" w:rsidR="00ED20FD" w:rsidRPr="00470D3B" w:rsidRDefault="00CE5014" w:rsidP="00470D3B">
      <w:pPr>
        <w:pStyle w:val="TableParagraph"/>
        <w:numPr>
          <w:ilvl w:val="1"/>
          <w:numId w:val="29"/>
        </w:numPr>
        <w:ind w:right="90"/>
        <w:rPr>
          <w:color w:val="333333"/>
        </w:rPr>
      </w:pPr>
      <w:r w:rsidRPr="00470D3B">
        <w:rPr>
          <w:color w:val="333333"/>
        </w:rPr>
        <w:t xml:space="preserve">In the event of a tie, the bidder with the </w:t>
      </w:r>
      <w:r w:rsidR="00F56C48" w:rsidRPr="00470D3B">
        <w:rPr>
          <w:color w:val="333333"/>
        </w:rPr>
        <w:t>larger post-consumer recovered</w:t>
      </w:r>
      <w:r w:rsidR="00D90591" w:rsidRPr="00470D3B">
        <w:rPr>
          <w:color w:val="333333"/>
        </w:rPr>
        <w:t xml:space="preserve"> content</w:t>
      </w:r>
      <w:r w:rsidRPr="00470D3B">
        <w:rPr>
          <w:color w:val="333333"/>
        </w:rPr>
        <w:t xml:space="preserve"> will break the tie and determine the award.</w:t>
      </w:r>
    </w:p>
    <w:p w14:paraId="0A6C166C" w14:textId="77777777" w:rsidR="00CE5014" w:rsidRPr="00CE5014" w:rsidRDefault="00CE5014" w:rsidP="00CE5014">
      <w:pPr>
        <w:pStyle w:val="TableParagraph"/>
        <w:ind w:left="3240" w:right="90"/>
        <w:rPr>
          <w:rFonts w:ascii="Calibri" w:hAnsi="Calibri"/>
        </w:rPr>
      </w:pPr>
    </w:p>
    <w:p w14:paraId="7327CCC3" w14:textId="2FB4CED9" w:rsidR="00ED20FD" w:rsidRPr="00BC2250" w:rsidRDefault="00ED20FD" w:rsidP="00826BD3">
      <w:pPr>
        <w:pStyle w:val="TableParagraph"/>
        <w:ind w:left="3240" w:right="90"/>
        <w:rPr>
          <w:rFonts w:ascii="Calibri" w:hAnsi="Calibri"/>
        </w:rPr>
      </w:pPr>
    </w:p>
    <w:p w14:paraId="452E31F1" w14:textId="77777777" w:rsidR="00BC2250" w:rsidRDefault="00BC2250" w:rsidP="00BC2250">
      <w:pPr>
        <w:pStyle w:val="ListParagrap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031"/>
        <w:gridCol w:w="2027"/>
        <w:gridCol w:w="2037"/>
        <w:gridCol w:w="2035"/>
      </w:tblGrid>
      <w:tr w:rsidR="00BC2250" w14:paraId="033C7673" w14:textId="77777777" w:rsidTr="00FD0118">
        <w:tc>
          <w:tcPr>
            <w:tcW w:w="2684" w:type="dxa"/>
            <w:vMerge w:val="restart"/>
          </w:tcPr>
          <w:p w14:paraId="600B0B3E" w14:textId="1F7A2CE5" w:rsidR="00BC2250" w:rsidRDefault="00BC2250" w:rsidP="00FD0118">
            <w:pPr>
              <w:spacing w:before="120" w:after="12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Sample Calculation</w:t>
            </w:r>
            <w:r w:rsidR="00F56C48">
              <w:rPr>
                <w:rFonts w:cs="Times New Roman"/>
                <w:bCs/>
                <w:szCs w:val="24"/>
              </w:rPr>
              <w:t xml:space="preserve"> #1</w:t>
            </w:r>
          </w:p>
        </w:tc>
        <w:tc>
          <w:tcPr>
            <w:tcW w:w="8189" w:type="dxa"/>
            <w:gridSpan w:val="4"/>
          </w:tcPr>
          <w:p w14:paraId="0872494A" w14:textId="3B432100" w:rsidR="00826BD3" w:rsidRDefault="00BC2250" w:rsidP="00F56C48">
            <w:pPr>
              <w:spacing w:before="120" w:after="120"/>
            </w:pPr>
            <w:r>
              <w:t>F</w:t>
            </w:r>
            <w:r w:rsidR="00F56C48">
              <w:t>ile Folders (5,000 plastic</w:t>
            </w:r>
            <w:r>
              <w:t xml:space="preserve">)         </w:t>
            </w:r>
            <w:r w:rsidRPr="00826BD3">
              <w:rPr>
                <w:rStyle w:val="Hyperlink"/>
              </w:rPr>
              <w:t>EPA</w:t>
            </w:r>
            <w:r w:rsidR="00F56C48" w:rsidRPr="00826BD3">
              <w:rPr>
                <w:rStyle w:val="Hyperlink"/>
              </w:rPr>
              <w:t xml:space="preserve"> GPC</w:t>
            </w:r>
            <w:r w:rsidRPr="00826BD3">
              <w:rPr>
                <w:rStyle w:val="Hyperlink"/>
              </w:rPr>
              <w:t xml:space="preserve"> recommends</w:t>
            </w:r>
            <w:r w:rsidR="00826BD3">
              <w:t>:</w:t>
            </w:r>
          </w:p>
          <w:p w14:paraId="22BB3712" w14:textId="2530643B" w:rsidR="00BC2250" w:rsidRDefault="00F56C48" w:rsidP="00826BD3">
            <w:pPr>
              <w:spacing w:before="120" w:after="120"/>
            </w:pPr>
            <w:r>
              <w:rPr>
                <w:b/>
                <w:u w:val="single"/>
              </w:rPr>
              <w:t>9</w:t>
            </w:r>
            <w:r w:rsidR="00BC2250" w:rsidRPr="00DF6E50">
              <w:rPr>
                <w:b/>
                <w:u w:val="single"/>
              </w:rPr>
              <w:t>0%</w:t>
            </w:r>
            <w:r w:rsidR="00BC2250">
              <w:t xml:space="preserve">  </w:t>
            </w:r>
            <w:r w:rsidR="00826BD3">
              <w:t xml:space="preserve">Post-Consumer and </w:t>
            </w:r>
            <w:r w:rsidR="00826BD3" w:rsidRPr="00826BD3">
              <w:rPr>
                <w:b/>
                <w:u w:val="single"/>
              </w:rPr>
              <w:t>90%</w:t>
            </w:r>
            <w:r w:rsidR="00826BD3">
              <w:t xml:space="preserve"> Total Recovered Contents (P-C/TRC)</w:t>
            </w:r>
          </w:p>
        </w:tc>
      </w:tr>
      <w:tr w:rsidR="00BC2250" w14:paraId="18529C23" w14:textId="77777777" w:rsidTr="00FD0118">
        <w:tc>
          <w:tcPr>
            <w:tcW w:w="2684" w:type="dxa"/>
            <w:vMerge/>
            <w:tcBorders>
              <w:bottom w:val="nil"/>
            </w:tcBorders>
          </w:tcPr>
          <w:p w14:paraId="4198C323" w14:textId="77777777" w:rsidR="00BC2250" w:rsidRDefault="00BC2250" w:rsidP="00FD0118">
            <w:pPr>
              <w:spacing w:before="120" w:after="120"/>
              <w:rPr>
                <w:rFonts w:cs="Times New Roman"/>
                <w:bCs/>
                <w:szCs w:val="24"/>
              </w:rPr>
            </w:pPr>
          </w:p>
        </w:tc>
        <w:tc>
          <w:tcPr>
            <w:tcW w:w="2046" w:type="dxa"/>
          </w:tcPr>
          <w:p w14:paraId="1C82F9C0" w14:textId="28EDB305" w:rsidR="00BC2250" w:rsidRDefault="00826BD3" w:rsidP="00FD0118">
            <w:pPr>
              <w:spacing w:before="120" w:after="120"/>
              <w:jc w:val="center"/>
            </w:pPr>
            <w:r>
              <w:t>P-C/TRC Bid</w:t>
            </w:r>
          </w:p>
        </w:tc>
        <w:tc>
          <w:tcPr>
            <w:tcW w:w="2044" w:type="dxa"/>
          </w:tcPr>
          <w:p w14:paraId="67B3F1AC" w14:textId="77777777" w:rsidR="00BC2250" w:rsidRDefault="00BC2250" w:rsidP="00FD0118">
            <w:pPr>
              <w:spacing w:before="120" w:after="120"/>
              <w:jc w:val="center"/>
            </w:pPr>
            <w:r>
              <w:t>Bid Price</w:t>
            </w:r>
          </w:p>
        </w:tc>
        <w:tc>
          <w:tcPr>
            <w:tcW w:w="2050" w:type="dxa"/>
          </w:tcPr>
          <w:p w14:paraId="7D4B32CA" w14:textId="77777777" w:rsidR="00BC2250" w:rsidRDefault="00BC2250" w:rsidP="00FD0118">
            <w:pPr>
              <w:spacing w:before="120" w:after="120"/>
              <w:jc w:val="center"/>
            </w:pPr>
            <w:r>
              <w:t>Price Preference</w:t>
            </w:r>
          </w:p>
        </w:tc>
        <w:tc>
          <w:tcPr>
            <w:tcW w:w="2049" w:type="dxa"/>
          </w:tcPr>
          <w:p w14:paraId="48E87162" w14:textId="7B56016C" w:rsidR="00BC2250" w:rsidRDefault="00BC2250" w:rsidP="00FD0118">
            <w:pPr>
              <w:spacing w:before="120" w:after="120"/>
              <w:jc w:val="center"/>
            </w:pPr>
            <w:r>
              <w:t>Evaluated Price</w:t>
            </w:r>
            <w:r w:rsidR="00287791" w:rsidRPr="00287791">
              <w:rPr>
                <w:vertAlign w:val="superscript"/>
              </w:rPr>
              <w:t>1</w:t>
            </w:r>
          </w:p>
        </w:tc>
      </w:tr>
      <w:tr w:rsidR="00BC2250" w14:paraId="64FD9504" w14:textId="77777777" w:rsidTr="00FD0118">
        <w:tc>
          <w:tcPr>
            <w:tcW w:w="2684" w:type="dxa"/>
            <w:tcBorders>
              <w:top w:val="nil"/>
              <w:bottom w:val="nil"/>
            </w:tcBorders>
          </w:tcPr>
          <w:p w14:paraId="343CB4E5" w14:textId="77777777" w:rsidR="00BC2250" w:rsidRDefault="00BC2250" w:rsidP="00FD0118">
            <w:pPr>
              <w:spacing w:before="120" w:after="120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Bidder A</w:t>
            </w:r>
          </w:p>
        </w:tc>
        <w:tc>
          <w:tcPr>
            <w:tcW w:w="2046" w:type="dxa"/>
          </w:tcPr>
          <w:p w14:paraId="17F4884A" w14:textId="3FAABD20" w:rsidR="00BC2250" w:rsidRDefault="00826BD3" w:rsidP="00FD0118">
            <w:pPr>
              <w:spacing w:before="120" w:after="120"/>
              <w:jc w:val="center"/>
            </w:pPr>
            <w:r>
              <w:t>90</w:t>
            </w:r>
            <w:r w:rsidR="00BC2250">
              <w:t>%</w:t>
            </w:r>
            <w:r>
              <w:t>/90%</w:t>
            </w:r>
          </w:p>
        </w:tc>
        <w:tc>
          <w:tcPr>
            <w:tcW w:w="2044" w:type="dxa"/>
          </w:tcPr>
          <w:p w14:paraId="1B1D4338" w14:textId="77777777" w:rsidR="00BC2250" w:rsidRDefault="00BC2250" w:rsidP="00FD0118">
            <w:pPr>
              <w:spacing w:before="120" w:after="120"/>
              <w:jc w:val="center"/>
            </w:pPr>
            <w:r>
              <w:t>$110.00</w:t>
            </w:r>
          </w:p>
        </w:tc>
        <w:tc>
          <w:tcPr>
            <w:tcW w:w="2050" w:type="dxa"/>
          </w:tcPr>
          <w:p w14:paraId="4CA887FF" w14:textId="77777777" w:rsidR="00BC2250" w:rsidRDefault="00BC2250" w:rsidP="00FD0118">
            <w:pPr>
              <w:spacing w:before="120" w:after="120"/>
              <w:jc w:val="center"/>
            </w:pPr>
            <w:r>
              <w:t>N/A</w:t>
            </w:r>
          </w:p>
        </w:tc>
        <w:tc>
          <w:tcPr>
            <w:tcW w:w="2049" w:type="dxa"/>
          </w:tcPr>
          <w:p w14:paraId="78761481" w14:textId="77777777" w:rsidR="00BC2250" w:rsidRDefault="00BC2250" w:rsidP="00FD0118">
            <w:pPr>
              <w:spacing w:before="120" w:after="120"/>
              <w:jc w:val="center"/>
            </w:pPr>
            <w:r>
              <w:t>$110.00</w:t>
            </w:r>
          </w:p>
        </w:tc>
      </w:tr>
      <w:tr w:rsidR="00BC2250" w:rsidRPr="00DF6E50" w14:paraId="78CF858B" w14:textId="77777777" w:rsidTr="00FD0118">
        <w:tc>
          <w:tcPr>
            <w:tcW w:w="2684" w:type="dxa"/>
            <w:tcBorders>
              <w:top w:val="nil"/>
              <w:bottom w:val="nil"/>
            </w:tcBorders>
          </w:tcPr>
          <w:p w14:paraId="6F4AB9E7" w14:textId="77777777" w:rsidR="00BC2250" w:rsidRPr="00DF6E50" w:rsidRDefault="00BC2250" w:rsidP="00FD0118">
            <w:pPr>
              <w:spacing w:before="120" w:after="120" w:line="276" w:lineRule="auto"/>
              <w:jc w:val="right"/>
              <w:rPr>
                <w:rFonts w:cs="Times New Roman"/>
                <w:b/>
                <w:bCs/>
                <w:szCs w:val="24"/>
                <w:u w:val="single"/>
              </w:rPr>
            </w:pPr>
            <w:r w:rsidRPr="00DF6E50">
              <w:rPr>
                <w:rFonts w:cs="Times New Roman"/>
                <w:b/>
                <w:bCs/>
                <w:szCs w:val="24"/>
                <w:u w:val="single"/>
              </w:rPr>
              <w:t>Bidder B</w:t>
            </w:r>
          </w:p>
        </w:tc>
        <w:tc>
          <w:tcPr>
            <w:tcW w:w="2046" w:type="dxa"/>
          </w:tcPr>
          <w:p w14:paraId="20CAD200" w14:textId="7002B78F" w:rsidR="00BC2250" w:rsidRDefault="00806F0A" w:rsidP="00FD0118">
            <w:pPr>
              <w:spacing w:before="120" w:after="120"/>
              <w:jc w:val="center"/>
            </w:pPr>
            <w:r>
              <w:t>90</w:t>
            </w:r>
            <w:r w:rsidR="00BC2250">
              <w:t>%</w:t>
            </w:r>
            <w:r>
              <w:t>/95</w:t>
            </w:r>
            <w:r w:rsidR="00826BD3">
              <w:t>%</w:t>
            </w:r>
          </w:p>
        </w:tc>
        <w:tc>
          <w:tcPr>
            <w:tcW w:w="2044" w:type="dxa"/>
          </w:tcPr>
          <w:p w14:paraId="1FE6FFE0" w14:textId="77777777" w:rsidR="00BC2250" w:rsidRDefault="00BC2250" w:rsidP="00FD0118">
            <w:pPr>
              <w:spacing w:before="120" w:after="120"/>
              <w:jc w:val="center"/>
            </w:pPr>
            <w:r>
              <w:t>$115.00</w:t>
            </w:r>
          </w:p>
        </w:tc>
        <w:tc>
          <w:tcPr>
            <w:tcW w:w="2050" w:type="dxa"/>
          </w:tcPr>
          <w:p w14:paraId="7BF2FEDA" w14:textId="77777777" w:rsidR="00BC2250" w:rsidRDefault="00BC2250" w:rsidP="00FD0118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049" w:type="dxa"/>
          </w:tcPr>
          <w:p w14:paraId="3427E02A" w14:textId="77777777" w:rsidR="00BC2250" w:rsidRPr="00DF6E50" w:rsidRDefault="00BC2250" w:rsidP="00FD0118">
            <w:pPr>
              <w:spacing w:before="120" w:after="120"/>
              <w:jc w:val="center"/>
              <w:rPr>
                <w:b/>
                <w:u w:val="single"/>
              </w:rPr>
            </w:pPr>
            <w:r w:rsidRPr="00DF6E50">
              <w:rPr>
                <w:b/>
                <w:u w:val="single"/>
              </w:rPr>
              <w:t>$103.50</w:t>
            </w:r>
          </w:p>
        </w:tc>
      </w:tr>
      <w:tr w:rsidR="00BC2250" w14:paraId="08B4D89E" w14:textId="77777777" w:rsidTr="00FD0118">
        <w:tc>
          <w:tcPr>
            <w:tcW w:w="2684" w:type="dxa"/>
            <w:tcBorders>
              <w:top w:val="nil"/>
            </w:tcBorders>
          </w:tcPr>
          <w:p w14:paraId="4C4320FA" w14:textId="77777777" w:rsidR="00BC2250" w:rsidRDefault="00BC2250" w:rsidP="00FD0118">
            <w:pPr>
              <w:spacing w:before="120" w:after="120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Bidder C</w:t>
            </w:r>
          </w:p>
        </w:tc>
        <w:tc>
          <w:tcPr>
            <w:tcW w:w="2046" w:type="dxa"/>
          </w:tcPr>
          <w:p w14:paraId="4654FDD9" w14:textId="66C9DFFB" w:rsidR="00BC2250" w:rsidRDefault="00826BD3" w:rsidP="00FD0118">
            <w:pPr>
              <w:spacing w:before="120" w:after="120"/>
              <w:jc w:val="center"/>
            </w:pPr>
            <w:r>
              <w:t>95%/95%</w:t>
            </w:r>
          </w:p>
        </w:tc>
        <w:tc>
          <w:tcPr>
            <w:tcW w:w="2044" w:type="dxa"/>
          </w:tcPr>
          <w:p w14:paraId="459B3E4E" w14:textId="77777777" w:rsidR="00BC2250" w:rsidRDefault="00BC2250" w:rsidP="00FD0118">
            <w:pPr>
              <w:spacing w:before="120" w:after="120"/>
              <w:jc w:val="center"/>
            </w:pPr>
            <w:r>
              <w:t>$120.00</w:t>
            </w:r>
          </w:p>
        </w:tc>
        <w:tc>
          <w:tcPr>
            <w:tcW w:w="2050" w:type="dxa"/>
          </w:tcPr>
          <w:p w14:paraId="6FB21352" w14:textId="77777777" w:rsidR="00BC2250" w:rsidRDefault="00BC2250" w:rsidP="00FD0118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049" w:type="dxa"/>
          </w:tcPr>
          <w:p w14:paraId="1D9C1A97" w14:textId="77777777" w:rsidR="00BC2250" w:rsidRDefault="00BC2250" w:rsidP="00FD0118">
            <w:pPr>
              <w:spacing w:before="120" w:after="120"/>
              <w:jc w:val="center"/>
            </w:pPr>
            <w:r>
              <w:t>$108.00</w:t>
            </w:r>
          </w:p>
        </w:tc>
      </w:tr>
    </w:tbl>
    <w:p w14:paraId="2B7E859C" w14:textId="77777777" w:rsidR="00BC2250" w:rsidRDefault="00BC2250" w:rsidP="00BC2250">
      <w:pPr>
        <w:pStyle w:val="TableParagraph"/>
        <w:ind w:left="3240" w:right="9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031"/>
        <w:gridCol w:w="2027"/>
        <w:gridCol w:w="2037"/>
        <w:gridCol w:w="2035"/>
      </w:tblGrid>
      <w:tr w:rsidR="00826BD3" w14:paraId="2E7BA733" w14:textId="77777777" w:rsidTr="006D4E95">
        <w:tc>
          <w:tcPr>
            <w:tcW w:w="2684" w:type="dxa"/>
            <w:vMerge w:val="restart"/>
          </w:tcPr>
          <w:p w14:paraId="51963A63" w14:textId="20B12912" w:rsidR="00826BD3" w:rsidRDefault="00826BD3" w:rsidP="006D4E95">
            <w:pPr>
              <w:spacing w:before="120" w:after="12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Sample Calculation #2</w:t>
            </w:r>
          </w:p>
        </w:tc>
        <w:tc>
          <w:tcPr>
            <w:tcW w:w="8189" w:type="dxa"/>
            <w:gridSpan w:val="4"/>
          </w:tcPr>
          <w:p w14:paraId="0B4AC794" w14:textId="01E2073F" w:rsidR="00826BD3" w:rsidRDefault="002A568E" w:rsidP="006D4E95">
            <w:pPr>
              <w:spacing w:before="120" w:after="120"/>
            </w:pPr>
            <w:r>
              <w:t>Steel Bike Racks</w:t>
            </w:r>
            <w:r w:rsidR="00826BD3">
              <w:t xml:space="preserve">         </w:t>
            </w:r>
            <w:r w:rsidR="00826BD3" w:rsidRPr="00826BD3">
              <w:rPr>
                <w:rStyle w:val="Hyperlink"/>
              </w:rPr>
              <w:t>EPA GPC recommends</w:t>
            </w:r>
            <w:r w:rsidR="00826BD3">
              <w:t>:</w:t>
            </w:r>
          </w:p>
          <w:p w14:paraId="4ED7238D" w14:textId="622A4CE0" w:rsidR="00826BD3" w:rsidRDefault="002A568E" w:rsidP="006D4E95">
            <w:pPr>
              <w:spacing w:before="120" w:after="120"/>
            </w:pPr>
            <w:r>
              <w:rPr>
                <w:b/>
                <w:u w:val="single"/>
              </w:rPr>
              <w:t>16</w:t>
            </w:r>
            <w:r w:rsidR="00826BD3" w:rsidRPr="00DF6E50">
              <w:rPr>
                <w:b/>
                <w:u w:val="single"/>
              </w:rPr>
              <w:t>%</w:t>
            </w:r>
            <w:r w:rsidR="00826BD3">
              <w:t xml:space="preserve">  Post-Consumer and </w:t>
            </w:r>
            <w:r>
              <w:rPr>
                <w:b/>
                <w:u w:val="single"/>
              </w:rPr>
              <w:t>25-30</w:t>
            </w:r>
            <w:r w:rsidR="00826BD3" w:rsidRPr="00826BD3">
              <w:rPr>
                <w:b/>
                <w:u w:val="single"/>
              </w:rPr>
              <w:t>%</w:t>
            </w:r>
            <w:r w:rsidR="00287791" w:rsidRPr="00287791">
              <w:rPr>
                <w:b/>
                <w:u w:val="single"/>
                <w:vertAlign w:val="superscript"/>
              </w:rPr>
              <w:t>2</w:t>
            </w:r>
            <w:r w:rsidR="00826BD3">
              <w:t xml:space="preserve"> Total Recovered Contents (P-C/TRC)</w:t>
            </w:r>
          </w:p>
        </w:tc>
      </w:tr>
      <w:tr w:rsidR="00826BD3" w14:paraId="42239569" w14:textId="77777777" w:rsidTr="006D4E95">
        <w:tc>
          <w:tcPr>
            <w:tcW w:w="2684" w:type="dxa"/>
            <w:vMerge/>
            <w:tcBorders>
              <w:bottom w:val="nil"/>
            </w:tcBorders>
          </w:tcPr>
          <w:p w14:paraId="58CA143C" w14:textId="77777777" w:rsidR="00826BD3" w:rsidRDefault="00826BD3" w:rsidP="006D4E95">
            <w:pPr>
              <w:spacing w:before="120" w:after="120"/>
              <w:rPr>
                <w:rFonts w:cs="Times New Roman"/>
                <w:bCs/>
                <w:szCs w:val="24"/>
              </w:rPr>
            </w:pPr>
          </w:p>
        </w:tc>
        <w:tc>
          <w:tcPr>
            <w:tcW w:w="2046" w:type="dxa"/>
          </w:tcPr>
          <w:p w14:paraId="5B77314A" w14:textId="77777777" w:rsidR="00826BD3" w:rsidRDefault="00826BD3" w:rsidP="006D4E95">
            <w:pPr>
              <w:spacing w:before="120" w:after="120"/>
              <w:jc w:val="center"/>
            </w:pPr>
            <w:r>
              <w:t>P-C/TRC Bid</w:t>
            </w:r>
          </w:p>
        </w:tc>
        <w:tc>
          <w:tcPr>
            <w:tcW w:w="2044" w:type="dxa"/>
          </w:tcPr>
          <w:p w14:paraId="06AAC884" w14:textId="77777777" w:rsidR="00826BD3" w:rsidRDefault="00826BD3" w:rsidP="006D4E95">
            <w:pPr>
              <w:spacing w:before="120" w:after="120"/>
              <w:jc w:val="center"/>
            </w:pPr>
            <w:r>
              <w:t>Bid Price</w:t>
            </w:r>
          </w:p>
        </w:tc>
        <w:tc>
          <w:tcPr>
            <w:tcW w:w="2050" w:type="dxa"/>
          </w:tcPr>
          <w:p w14:paraId="60DB2141" w14:textId="77777777" w:rsidR="00826BD3" w:rsidRDefault="00826BD3" w:rsidP="006D4E95">
            <w:pPr>
              <w:spacing w:before="120" w:after="120"/>
              <w:jc w:val="center"/>
            </w:pPr>
            <w:r>
              <w:t>Price Preference</w:t>
            </w:r>
          </w:p>
        </w:tc>
        <w:tc>
          <w:tcPr>
            <w:tcW w:w="2049" w:type="dxa"/>
          </w:tcPr>
          <w:p w14:paraId="5197A862" w14:textId="64BBC949" w:rsidR="00826BD3" w:rsidRDefault="00826BD3" w:rsidP="006D4E95">
            <w:pPr>
              <w:spacing w:before="120" w:after="120"/>
              <w:jc w:val="center"/>
            </w:pPr>
            <w:r>
              <w:t>Evaluated Price</w:t>
            </w:r>
            <w:r w:rsidR="00287791" w:rsidRPr="00287791">
              <w:rPr>
                <w:vertAlign w:val="superscript"/>
              </w:rPr>
              <w:t>1</w:t>
            </w:r>
          </w:p>
        </w:tc>
      </w:tr>
      <w:tr w:rsidR="00826BD3" w14:paraId="1E78D478" w14:textId="77777777" w:rsidTr="006D4E95">
        <w:tc>
          <w:tcPr>
            <w:tcW w:w="2684" w:type="dxa"/>
            <w:tcBorders>
              <w:top w:val="nil"/>
              <w:bottom w:val="nil"/>
            </w:tcBorders>
          </w:tcPr>
          <w:p w14:paraId="6A27C6DE" w14:textId="77777777" w:rsidR="00826BD3" w:rsidRDefault="00826BD3" w:rsidP="006D4E95">
            <w:pPr>
              <w:spacing w:before="120" w:after="120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Bidder A</w:t>
            </w:r>
          </w:p>
        </w:tc>
        <w:tc>
          <w:tcPr>
            <w:tcW w:w="2046" w:type="dxa"/>
          </w:tcPr>
          <w:p w14:paraId="130517CE" w14:textId="17C36A81" w:rsidR="00826BD3" w:rsidRDefault="002A568E" w:rsidP="006D4E95">
            <w:pPr>
              <w:spacing w:before="120" w:after="120"/>
              <w:jc w:val="center"/>
            </w:pPr>
            <w:r>
              <w:t>16</w:t>
            </w:r>
            <w:r w:rsidR="00826BD3">
              <w:t>%</w:t>
            </w:r>
            <w:r>
              <w:t>/25</w:t>
            </w:r>
            <w:r w:rsidR="00826BD3">
              <w:t>%</w:t>
            </w:r>
          </w:p>
        </w:tc>
        <w:tc>
          <w:tcPr>
            <w:tcW w:w="2044" w:type="dxa"/>
          </w:tcPr>
          <w:p w14:paraId="456EF58E" w14:textId="4B073277" w:rsidR="00826BD3" w:rsidRDefault="002A568E" w:rsidP="006D4E95">
            <w:pPr>
              <w:spacing w:before="120" w:after="120"/>
              <w:jc w:val="center"/>
            </w:pPr>
            <w:r>
              <w:t>$50,000</w:t>
            </w:r>
          </w:p>
        </w:tc>
        <w:tc>
          <w:tcPr>
            <w:tcW w:w="2050" w:type="dxa"/>
          </w:tcPr>
          <w:p w14:paraId="4CCF1982" w14:textId="77777777" w:rsidR="00826BD3" w:rsidRDefault="00826BD3" w:rsidP="006D4E95">
            <w:pPr>
              <w:spacing w:before="120" w:after="120"/>
              <w:jc w:val="center"/>
            </w:pPr>
            <w:r>
              <w:t>N/A</w:t>
            </w:r>
          </w:p>
        </w:tc>
        <w:tc>
          <w:tcPr>
            <w:tcW w:w="2049" w:type="dxa"/>
          </w:tcPr>
          <w:p w14:paraId="401270A9" w14:textId="0F5F7C8A" w:rsidR="00826BD3" w:rsidRDefault="00280D2E" w:rsidP="006D4E95">
            <w:pPr>
              <w:spacing w:before="120" w:after="120"/>
              <w:jc w:val="center"/>
            </w:pPr>
            <w:r>
              <w:t>$50,000</w:t>
            </w:r>
          </w:p>
        </w:tc>
      </w:tr>
      <w:tr w:rsidR="00826BD3" w:rsidRPr="00DF6E50" w14:paraId="5911A808" w14:textId="77777777" w:rsidTr="006D4E95">
        <w:tc>
          <w:tcPr>
            <w:tcW w:w="2684" w:type="dxa"/>
            <w:tcBorders>
              <w:top w:val="nil"/>
              <w:bottom w:val="nil"/>
            </w:tcBorders>
          </w:tcPr>
          <w:p w14:paraId="1C7BC79A" w14:textId="77777777" w:rsidR="00826BD3" w:rsidRPr="00280D2E" w:rsidRDefault="00826BD3" w:rsidP="006D4E95">
            <w:pPr>
              <w:spacing w:before="120" w:after="120" w:line="276" w:lineRule="auto"/>
              <w:jc w:val="right"/>
              <w:rPr>
                <w:rFonts w:cs="Times New Roman"/>
                <w:bCs/>
                <w:szCs w:val="24"/>
              </w:rPr>
            </w:pPr>
            <w:r w:rsidRPr="00280D2E">
              <w:rPr>
                <w:rFonts w:cs="Times New Roman"/>
                <w:bCs/>
                <w:szCs w:val="24"/>
              </w:rPr>
              <w:t>Bidder B</w:t>
            </w:r>
          </w:p>
        </w:tc>
        <w:tc>
          <w:tcPr>
            <w:tcW w:w="2046" w:type="dxa"/>
          </w:tcPr>
          <w:p w14:paraId="53A527C6" w14:textId="10A135E2" w:rsidR="00826BD3" w:rsidRDefault="002A568E" w:rsidP="006D4E95">
            <w:pPr>
              <w:spacing w:before="120" w:after="120"/>
              <w:jc w:val="center"/>
            </w:pPr>
            <w:r>
              <w:t>16</w:t>
            </w:r>
            <w:r w:rsidR="00826BD3">
              <w:t>%</w:t>
            </w:r>
            <w:r>
              <w:t>/30</w:t>
            </w:r>
            <w:r w:rsidR="00826BD3">
              <w:t>%</w:t>
            </w:r>
          </w:p>
        </w:tc>
        <w:tc>
          <w:tcPr>
            <w:tcW w:w="2044" w:type="dxa"/>
          </w:tcPr>
          <w:p w14:paraId="01F3C60D" w14:textId="229A234C" w:rsidR="00826BD3" w:rsidRDefault="002A568E" w:rsidP="006D4E95">
            <w:pPr>
              <w:spacing w:before="120" w:after="120"/>
              <w:jc w:val="center"/>
            </w:pPr>
            <w:r>
              <w:t>$</w:t>
            </w:r>
            <w:r w:rsidR="00280D2E">
              <w:t>57,000</w:t>
            </w:r>
          </w:p>
        </w:tc>
        <w:tc>
          <w:tcPr>
            <w:tcW w:w="2050" w:type="dxa"/>
          </w:tcPr>
          <w:p w14:paraId="0001A284" w14:textId="3FC9DC9C" w:rsidR="00826BD3" w:rsidRDefault="00280D2E" w:rsidP="006D4E95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049" w:type="dxa"/>
          </w:tcPr>
          <w:p w14:paraId="59C44180" w14:textId="69F498DB" w:rsidR="00826BD3" w:rsidRPr="00280D2E" w:rsidRDefault="00280D2E" w:rsidP="006D4E95">
            <w:pPr>
              <w:spacing w:before="120" w:after="120"/>
              <w:jc w:val="center"/>
            </w:pPr>
            <w:r>
              <w:t>$51,300</w:t>
            </w:r>
          </w:p>
        </w:tc>
      </w:tr>
      <w:tr w:rsidR="00826BD3" w14:paraId="1800882A" w14:textId="77777777" w:rsidTr="006D4E95">
        <w:tc>
          <w:tcPr>
            <w:tcW w:w="2684" w:type="dxa"/>
            <w:tcBorders>
              <w:top w:val="nil"/>
            </w:tcBorders>
          </w:tcPr>
          <w:p w14:paraId="1568107A" w14:textId="77777777" w:rsidR="00826BD3" w:rsidRPr="00280D2E" w:rsidRDefault="00826BD3" w:rsidP="006D4E95">
            <w:pPr>
              <w:spacing w:before="120" w:after="120"/>
              <w:jc w:val="right"/>
              <w:rPr>
                <w:rFonts w:cs="Times New Roman"/>
                <w:b/>
                <w:bCs/>
                <w:szCs w:val="24"/>
                <w:u w:val="single"/>
              </w:rPr>
            </w:pPr>
            <w:r w:rsidRPr="00280D2E">
              <w:rPr>
                <w:rFonts w:cs="Times New Roman"/>
                <w:b/>
                <w:bCs/>
                <w:szCs w:val="24"/>
                <w:u w:val="single"/>
              </w:rPr>
              <w:t>Bidder C</w:t>
            </w:r>
          </w:p>
        </w:tc>
        <w:tc>
          <w:tcPr>
            <w:tcW w:w="2046" w:type="dxa"/>
          </w:tcPr>
          <w:p w14:paraId="544CDC6E" w14:textId="1A8AB2E1" w:rsidR="00826BD3" w:rsidRDefault="002A568E" w:rsidP="006D4E95">
            <w:pPr>
              <w:spacing w:before="120" w:after="120"/>
              <w:jc w:val="center"/>
            </w:pPr>
            <w:r>
              <w:t>20%/25</w:t>
            </w:r>
            <w:r w:rsidR="00826BD3">
              <w:t>%</w:t>
            </w:r>
          </w:p>
        </w:tc>
        <w:tc>
          <w:tcPr>
            <w:tcW w:w="2044" w:type="dxa"/>
          </w:tcPr>
          <w:p w14:paraId="23B14613" w14:textId="3610476F" w:rsidR="00826BD3" w:rsidRDefault="00280D2E" w:rsidP="006D4E95">
            <w:pPr>
              <w:spacing w:before="120" w:after="120"/>
              <w:jc w:val="center"/>
            </w:pPr>
            <w:r>
              <w:t>$51,300</w:t>
            </w:r>
          </w:p>
        </w:tc>
        <w:tc>
          <w:tcPr>
            <w:tcW w:w="2050" w:type="dxa"/>
          </w:tcPr>
          <w:p w14:paraId="62D9FFC5" w14:textId="77777777" w:rsidR="00826BD3" w:rsidRDefault="00826BD3" w:rsidP="006D4E95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049" w:type="dxa"/>
          </w:tcPr>
          <w:p w14:paraId="60362399" w14:textId="1CA03989" w:rsidR="00826BD3" w:rsidRPr="00280D2E" w:rsidRDefault="00280D2E" w:rsidP="006D4E95">
            <w:pPr>
              <w:spacing w:before="120" w:after="120"/>
              <w:jc w:val="center"/>
              <w:rPr>
                <w:b/>
                <w:u w:val="single"/>
              </w:rPr>
            </w:pPr>
            <w:r w:rsidRPr="00280D2E">
              <w:rPr>
                <w:b/>
                <w:u w:val="single"/>
              </w:rPr>
              <w:t>$46,170</w:t>
            </w:r>
          </w:p>
        </w:tc>
      </w:tr>
    </w:tbl>
    <w:p w14:paraId="410F1F35" w14:textId="443FABC8" w:rsidR="00DA1AB6" w:rsidRDefault="00287791" w:rsidP="00ED20FD">
      <w:pPr>
        <w:pStyle w:val="TableParagraph"/>
        <w:tabs>
          <w:tab w:val="left" w:pos="623"/>
        </w:tabs>
        <w:ind w:right="90"/>
        <w:jc w:val="both"/>
        <w:rPr>
          <w:rFonts w:cstheme="minorHAnsi"/>
          <w:b/>
        </w:rPr>
      </w:pPr>
      <w:r w:rsidRPr="00287791">
        <w:rPr>
          <w:rFonts w:cstheme="minorHAnsi"/>
          <w:b/>
          <w:vertAlign w:val="superscript"/>
        </w:rPr>
        <w:t>1</w:t>
      </w:r>
      <w:r w:rsidR="00DA1AB6">
        <w:rPr>
          <w:rFonts w:cstheme="minorHAnsi"/>
          <w:b/>
        </w:rPr>
        <w:t xml:space="preserve">Calculation of price preference:  Bid Price multiplied by </w:t>
      </w:r>
      <w:r>
        <w:rPr>
          <w:rFonts w:cstheme="minorHAnsi"/>
          <w:b/>
        </w:rPr>
        <w:t>.90 equals the Evaluated Price</w:t>
      </w:r>
    </w:p>
    <w:p w14:paraId="7A9EC0A4" w14:textId="77777777" w:rsidR="00DA1AB6" w:rsidRDefault="00DA1AB6" w:rsidP="00ED20FD">
      <w:pPr>
        <w:pStyle w:val="TableParagraph"/>
        <w:tabs>
          <w:tab w:val="left" w:pos="623"/>
        </w:tabs>
        <w:ind w:right="90"/>
        <w:jc w:val="both"/>
        <w:rPr>
          <w:rFonts w:cstheme="minorHAnsi"/>
          <w:b/>
        </w:rPr>
      </w:pPr>
    </w:p>
    <w:p w14:paraId="48327617" w14:textId="0E747486" w:rsidR="002E627B" w:rsidRPr="006D66E3" w:rsidRDefault="00287791" w:rsidP="00ED20FD">
      <w:pPr>
        <w:pStyle w:val="TableParagraph"/>
        <w:tabs>
          <w:tab w:val="left" w:pos="623"/>
        </w:tabs>
        <w:ind w:right="90"/>
        <w:jc w:val="both"/>
        <w:rPr>
          <w:rFonts w:cstheme="minorHAnsi"/>
          <w:b/>
        </w:rPr>
      </w:pPr>
      <w:r w:rsidRPr="00287791">
        <w:rPr>
          <w:rFonts w:cstheme="minorHAnsi"/>
          <w:b/>
          <w:vertAlign w:val="superscript"/>
        </w:rPr>
        <w:t>2</w:t>
      </w:r>
      <w:r w:rsidR="00280D2E">
        <w:rPr>
          <w:rFonts w:cstheme="minorHAnsi"/>
          <w:b/>
        </w:rPr>
        <w:t xml:space="preserve">As shown in the Sample Calculation #2, if the EPA CPG recommends a range for either of the post-consumer or total recovered content levels, agencies shall use the lower of the range as the minimum. </w:t>
      </w:r>
    </w:p>
    <w:bookmarkEnd w:id="1"/>
    <w:p w14:paraId="730A3BDA" w14:textId="41EBB01F" w:rsidR="00FB0071" w:rsidRPr="00D64E71" w:rsidRDefault="00BC2830" w:rsidP="00280AA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</w:t>
      </w:r>
    </w:p>
    <w:p w14:paraId="52A2AFD7" w14:textId="77777777" w:rsidR="00FB0071" w:rsidRPr="00D64E71" w:rsidRDefault="00FB0071" w:rsidP="00FB0071">
      <w:pPr>
        <w:pStyle w:val="InfoBlock"/>
        <w:spacing w:before="360"/>
        <w:contextualSpacing w:val="0"/>
        <w:rPr>
          <w:rFonts w:ascii="Calibri" w:hAnsi="Calibri"/>
          <w:i/>
          <w:sz w:val="18"/>
          <w:szCs w:val="18"/>
        </w:rPr>
      </w:pPr>
      <w:proofErr w:type="gramStart"/>
      <w:r w:rsidRPr="00D64E71">
        <w:rPr>
          <w:rFonts w:ascii="Calibri" w:hAnsi="Calibri"/>
          <w:i/>
          <w:sz w:val="18"/>
          <w:szCs w:val="18"/>
        </w:rPr>
        <w:t>Need a copy of a prior version of this policy?</w:t>
      </w:r>
      <w:proofErr w:type="gramEnd"/>
      <w:r w:rsidRPr="00D64E71">
        <w:rPr>
          <w:rFonts w:ascii="Calibri" w:hAnsi="Calibri"/>
          <w:i/>
          <w:sz w:val="18"/>
          <w:szCs w:val="18"/>
        </w:rPr>
        <w:t xml:space="preserve">  E-mail </w:t>
      </w:r>
      <w:hyperlink r:id="rId12" w:history="1">
        <w:r w:rsidRPr="00D64E71">
          <w:rPr>
            <w:rStyle w:val="Hyperlink"/>
            <w:rFonts w:ascii="Calibri" w:hAnsi="Calibri"/>
            <w:i/>
            <w:color w:val="auto"/>
            <w:sz w:val="18"/>
            <w:szCs w:val="18"/>
          </w:rPr>
          <w:t>jack.zeigler@des.wa.gov</w:t>
        </w:r>
      </w:hyperlink>
    </w:p>
    <w:p w14:paraId="20F37D09" w14:textId="315EB52B" w:rsidR="001A21DE" w:rsidRPr="00D64E71" w:rsidRDefault="00263717" w:rsidP="00263717">
      <w:pPr>
        <w:rPr>
          <w:rFonts w:ascii="Calibri" w:hAnsi="Calibri"/>
        </w:rPr>
      </w:pPr>
      <w:r w:rsidRPr="00263717">
        <w:rPr>
          <w:rFonts w:ascii="Calibri" w:hAnsi="Calibri"/>
        </w:rPr>
        <w:tab/>
      </w:r>
    </w:p>
    <w:sectPr w:rsidR="001A21DE" w:rsidRPr="00D64E71" w:rsidSect="00AC27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7D16" w14:textId="77777777" w:rsidR="004E6A05" w:rsidRDefault="004E6A05" w:rsidP="000563A2">
      <w:pPr>
        <w:spacing w:after="0"/>
      </w:pPr>
      <w:r>
        <w:separator/>
      </w:r>
    </w:p>
    <w:p w14:paraId="20F37D17" w14:textId="77777777" w:rsidR="004E6A05" w:rsidRDefault="004E6A05"/>
  </w:endnote>
  <w:endnote w:type="continuationSeparator" w:id="0">
    <w:p w14:paraId="20F37D18" w14:textId="77777777" w:rsidR="004E6A05" w:rsidRDefault="004E6A05" w:rsidP="000563A2">
      <w:pPr>
        <w:spacing w:after="0"/>
      </w:pPr>
      <w:r>
        <w:continuationSeparator/>
      </w:r>
    </w:p>
    <w:p w14:paraId="20F37D19" w14:textId="77777777" w:rsidR="004E6A05" w:rsidRDefault="004E6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C1FA" w14:textId="77777777" w:rsidR="00DA1AB6" w:rsidRDefault="00DA1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20626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0F37D1C" w14:textId="265BBD83" w:rsidR="00D20E33" w:rsidRPr="00E558D3" w:rsidRDefault="00D20E33">
            <w:pPr>
              <w:pStyle w:val="Footer"/>
              <w:jc w:val="center"/>
              <w:rPr>
                <w:sz w:val="16"/>
                <w:szCs w:val="16"/>
              </w:rPr>
            </w:pPr>
            <w:r w:rsidRPr="00E558D3">
              <w:rPr>
                <w:sz w:val="16"/>
                <w:szCs w:val="16"/>
              </w:rPr>
              <w:t xml:space="preserve">Page </w:t>
            </w:r>
            <w:r w:rsidR="005B605F" w:rsidRPr="00E558D3">
              <w:rPr>
                <w:b/>
                <w:sz w:val="16"/>
                <w:szCs w:val="16"/>
              </w:rPr>
              <w:fldChar w:fldCharType="begin"/>
            </w:r>
            <w:r w:rsidRPr="00E558D3">
              <w:rPr>
                <w:b/>
                <w:sz w:val="16"/>
                <w:szCs w:val="16"/>
              </w:rPr>
              <w:instrText xml:space="preserve"> PAGE </w:instrText>
            </w:r>
            <w:r w:rsidR="005B605F" w:rsidRPr="00E558D3">
              <w:rPr>
                <w:b/>
                <w:sz w:val="16"/>
                <w:szCs w:val="16"/>
              </w:rPr>
              <w:fldChar w:fldCharType="separate"/>
            </w:r>
            <w:r w:rsidR="00DC4C58">
              <w:rPr>
                <w:b/>
                <w:noProof/>
                <w:sz w:val="16"/>
                <w:szCs w:val="16"/>
              </w:rPr>
              <w:t>2</w:t>
            </w:r>
            <w:r w:rsidR="005B605F" w:rsidRPr="00E558D3">
              <w:rPr>
                <w:b/>
                <w:sz w:val="16"/>
                <w:szCs w:val="16"/>
              </w:rPr>
              <w:fldChar w:fldCharType="end"/>
            </w:r>
            <w:r w:rsidRPr="00E558D3">
              <w:rPr>
                <w:sz w:val="16"/>
                <w:szCs w:val="16"/>
              </w:rPr>
              <w:t xml:space="preserve"> of </w:t>
            </w:r>
            <w:r w:rsidR="005B605F" w:rsidRPr="00E558D3">
              <w:rPr>
                <w:b/>
                <w:sz w:val="16"/>
                <w:szCs w:val="16"/>
              </w:rPr>
              <w:fldChar w:fldCharType="begin"/>
            </w:r>
            <w:r w:rsidRPr="00E558D3">
              <w:rPr>
                <w:b/>
                <w:sz w:val="16"/>
                <w:szCs w:val="16"/>
              </w:rPr>
              <w:instrText xml:space="preserve"> NUMPAGES  </w:instrText>
            </w:r>
            <w:r w:rsidR="005B605F" w:rsidRPr="00E558D3">
              <w:rPr>
                <w:b/>
                <w:sz w:val="16"/>
                <w:szCs w:val="16"/>
              </w:rPr>
              <w:fldChar w:fldCharType="separate"/>
            </w:r>
            <w:r w:rsidR="00DC4C58">
              <w:rPr>
                <w:b/>
                <w:noProof/>
                <w:sz w:val="16"/>
                <w:szCs w:val="16"/>
              </w:rPr>
              <w:t>2</w:t>
            </w:r>
            <w:r w:rsidR="005B605F" w:rsidRPr="00E558D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F6F9" w14:textId="77777777" w:rsidR="00DA1AB6" w:rsidRDefault="00DA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7D12" w14:textId="77777777" w:rsidR="004E6A05" w:rsidRDefault="004E6A05" w:rsidP="000563A2">
      <w:pPr>
        <w:spacing w:after="0"/>
      </w:pPr>
      <w:r>
        <w:separator/>
      </w:r>
    </w:p>
    <w:p w14:paraId="20F37D13" w14:textId="77777777" w:rsidR="004E6A05" w:rsidRDefault="004E6A05"/>
  </w:footnote>
  <w:footnote w:type="continuationSeparator" w:id="0">
    <w:p w14:paraId="20F37D14" w14:textId="77777777" w:rsidR="004E6A05" w:rsidRDefault="004E6A05" w:rsidP="000563A2">
      <w:pPr>
        <w:spacing w:after="0"/>
      </w:pPr>
      <w:r>
        <w:continuationSeparator/>
      </w:r>
    </w:p>
    <w:p w14:paraId="20F37D15" w14:textId="77777777" w:rsidR="004E6A05" w:rsidRDefault="004E6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2553" w14:textId="77777777" w:rsidR="00DA1AB6" w:rsidRDefault="00DA1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7D1A" w14:textId="1E12E65C" w:rsidR="00D20E33" w:rsidRDefault="00D20E33">
    <w:pPr>
      <w:pStyle w:val="Header"/>
    </w:pPr>
  </w:p>
  <w:p w14:paraId="20F37D1B" w14:textId="77777777" w:rsidR="000528BB" w:rsidRDefault="00052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7D1D" w14:textId="28FA0918" w:rsidR="000528BB" w:rsidRDefault="00DC4C58">
    <w:pPr>
      <w:pStyle w:val="Header"/>
    </w:pPr>
    <w:sdt>
      <w:sdtPr>
        <w:id w:val="-1076129628"/>
        <w:docPartObj>
          <w:docPartGallery w:val="Watermarks"/>
          <w:docPartUnique/>
        </w:docPartObj>
      </w:sdtPr>
      <w:sdtContent>
        <w:r>
          <w:rPr>
            <w:noProof/>
          </w:rPr>
          <w:pict w14:anchorId="662BDD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28BB" w:rsidRPr="000528BB">
      <w:rPr>
        <w:noProof/>
        <w:lang w:bidi="ar-SA"/>
      </w:rPr>
      <w:drawing>
        <wp:inline distT="0" distB="0" distL="0" distR="0" wp14:anchorId="20F37D1F" wp14:editId="7F0192A8">
          <wp:extent cx="2171700" cy="365760"/>
          <wp:effectExtent l="0" t="0" r="0" b="0"/>
          <wp:docPr id="4" name="Picture 1" descr="This is a pictuer of the DES logo, which  shows a stylized E next to the title of the agency." title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F37D1E" w14:textId="77777777" w:rsidR="000528BB" w:rsidRDefault="0005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8E"/>
    <w:multiLevelType w:val="hybridMultilevel"/>
    <w:tmpl w:val="BD76CE02"/>
    <w:lvl w:ilvl="0" w:tplc="C99AC7E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8B7"/>
    <w:multiLevelType w:val="hybridMultilevel"/>
    <w:tmpl w:val="6CE05612"/>
    <w:lvl w:ilvl="0" w:tplc="EBD8409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E5EBF"/>
    <w:multiLevelType w:val="hybridMultilevel"/>
    <w:tmpl w:val="18F01F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935B7"/>
    <w:multiLevelType w:val="hybridMultilevel"/>
    <w:tmpl w:val="EADEE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84A"/>
    <w:multiLevelType w:val="hybridMultilevel"/>
    <w:tmpl w:val="EC5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3EB0"/>
    <w:multiLevelType w:val="hybridMultilevel"/>
    <w:tmpl w:val="5AC0FBEC"/>
    <w:lvl w:ilvl="0" w:tplc="9F6A4C7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BFC7F16"/>
    <w:multiLevelType w:val="hybridMultilevel"/>
    <w:tmpl w:val="914C8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7D09DB"/>
    <w:multiLevelType w:val="hybridMultilevel"/>
    <w:tmpl w:val="6D7A5248"/>
    <w:lvl w:ilvl="0" w:tplc="75CC97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260D"/>
    <w:multiLevelType w:val="hybridMultilevel"/>
    <w:tmpl w:val="E13EBC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17B50"/>
    <w:multiLevelType w:val="hybridMultilevel"/>
    <w:tmpl w:val="E1D43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91019"/>
    <w:multiLevelType w:val="hybridMultilevel"/>
    <w:tmpl w:val="EC4A6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756B1"/>
    <w:multiLevelType w:val="hybridMultilevel"/>
    <w:tmpl w:val="1F12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04094"/>
    <w:multiLevelType w:val="hybridMultilevel"/>
    <w:tmpl w:val="3C5A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1791"/>
    <w:multiLevelType w:val="hybridMultilevel"/>
    <w:tmpl w:val="2F6A3AB8"/>
    <w:lvl w:ilvl="0" w:tplc="C99AC7E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0C2D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4763E"/>
    <w:multiLevelType w:val="hybridMultilevel"/>
    <w:tmpl w:val="4D30B552"/>
    <w:lvl w:ilvl="0" w:tplc="B106D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B08"/>
    <w:multiLevelType w:val="hybridMultilevel"/>
    <w:tmpl w:val="5D5E7142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BAA"/>
    <w:multiLevelType w:val="hybridMultilevel"/>
    <w:tmpl w:val="00FAE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C309CE"/>
    <w:multiLevelType w:val="hybridMultilevel"/>
    <w:tmpl w:val="A5461E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C242F"/>
    <w:multiLevelType w:val="hybridMultilevel"/>
    <w:tmpl w:val="BD76CE02"/>
    <w:lvl w:ilvl="0" w:tplc="C99AC7E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A3A74"/>
    <w:multiLevelType w:val="hybridMultilevel"/>
    <w:tmpl w:val="4E50D592"/>
    <w:lvl w:ilvl="0" w:tplc="EDBE39E6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09B"/>
    <w:multiLevelType w:val="hybridMultilevel"/>
    <w:tmpl w:val="BD76CE02"/>
    <w:lvl w:ilvl="0" w:tplc="C99AC7E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A64A6"/>
    <w:multiLevelType w:val="hybridMultilevel"/>
    <w:tmpl w:val="22D838B8"/>
    <w:lvl w:ilvl="0" w:tplc="EBD8409A">
      <w:start w:val="1"/>
      <w:numFmt w:val="lowerLetter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5D0391"/>
    <w:multiLevelType w:val="hybridMultilevel"/>
    <w:tmpl w:val="49C69526"/>
    <w:lvl w:ilvl="0" w:tplc="1292ADC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B032B39"/>
    <w:multiLevelType w:val="hybridMultilevel"/>
    <w:tmpl w:val="DAA6BE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24034"/>
    <w:multiLevelType w:val="hybridMultilevel"/>
    <w:tmpl w:val="90EC20B4"/>
    <w:lvl w:ilvl="0" w:tplc="245A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E016D0"/>
    <w:multiLevelType w:val="hybridMultilevel"/>
    <w:tmpl w:val="68E4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21"/>
  </w:num>
  <w:num w:numId="5">
    <w:abstractNumId w:val="0"/>
  </w:num>
  <w:num w:numId="6">
    <w:abstractNumId w:val="14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22"/>
  </w:num>
  <w:num w:numId="12">
    <w:abstractNumId w:val="13"/>
  </w:num>
  <w:num w:numId="13">
    <w:abstractNumId w:val="10"/>
  </w:num>
  <w:num w:numId="14">
    <w:abstractNumId w:val="17"/>
  </w:num>
  <w:num w:numId="15">
    <w:abstractNumId w:val="7"/>
  </w:num>
  <w:num w:numId="16">
    <w:abstractNumId w:val="18"/>
  </w:num>
  <w:num w:numId="17">
    <w:abstractNumId w:val="24"/>
  </w:num>
  <w:num w:numId="18">
    <w:abstractNumId w:val="1"/>
  </w:num>
  <w:num w:numId="19">
    <w:abstractNumId w:val="25"/>
  </w:num>
  <w:num w:numId="20">
    <w:abstractNumId w:val="20"/>
  </w:num>
  <w:num w:numId="21">
    <w:abstractNumId w:val="20"/>
  </w:num>
  <w:num w:numId="22">
    <w:abstractNumId w:val="4"/>
  </w:num>
  <w:num w:numId="23">
    <w:abstractNumId w:val="6"/>
  </w:num>
  <w:num w:numId="24">
    <w:abstractNumId w:val="16"/>
  </w:num>
  <w:num w:numId="25">
    <w:abstractNumId w:val="8"/>
  </w:num>
  <w:num w:numId="26">
    <w:abstractNumId w:val="26"/>
  </w:num>
  <w:num w:numId="27">
    <w:abstractNumId w:val="5"/>
  </w:num>
  <w:num w:numId="28">
    <w:abstractNumId w:val="15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>
      <o:colormru v:ext="edit" colors="#95b3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1"/>
    <w:rsid w:val="0003061C"/>
    <w:rsid w:val="0004173A"/>
    <w:rsid w:val="000528BB"/>
    <w:rsid w:val="000563A2"/>
    <w:rsid w:val="00062196"/>
    <w:rsid w:val="00084B85"/>
    <w:rsid w:val="00087C8C"/>
    <w:rsid w:val="000C3EB6"/>
    <w:rsid w:val="000C7541"/>
    <w:rsid w:val="00117630"/>
    <w:rsid w:val="0012371B"/>
    <w:rsid w:val="001653D8"/>
    <w:rsid w:val="00181D55"/>
    <w:rsid w:val="00195EC3"/>
    <w:rsid w:val="001A049E"/>
    <w:rsid w:val="001A21DE"/>
    <w:rsid w:val="001B6C87"/>
    <w:rsid w:val="001C0746"/>
    <w:rsid w:val="0021275E"/>
    <w:rsid w:val="0021311E"/>
    <w:rsid w:val="00263717"/>
    <w:rsid w:val="00275255"/>
    <w:rsid w:val="00280AA0"/>
    <w:rsid w:val="00280D2E"/>
    <w:rsid w:val="00287791"/>
    <w:rsid w:val="002917D8"/>
    <w:rsid w:val="00292866"/>
    <w:rsid w:val="002A568E"/>
    <w:rsid w:val="002C0D64"/>
    <w:rsid w:val="002C6205"/>
    <w:rsid w:val="002D344A"/>
    <w:rsid w:val="002E627B"/>
    <w:rsid w:val="0031639B"/>
    <w:rsid w:val="0032322F"/>
    <w:rsid w:val="00325E2B"/>
    <w:rsid w:val="00346E0A"/>
    <w:rsid w:val="00370DC1"/>
    <w:rsid w:val="003A47B1"/>
    <w:rsid w:val="003D44E4"/>
    <w:rsid w:val="003D67D8"/>
    <w:rsid w:val="003D73CB"/>
    <w:rsid w:val="0040045E"/>
    <w:rsid w:val="00401DD3"/>
    <w:rsid w:val="00464C54"/>
    <w:rsid w:val="00470D3B"/>
    <w:rsid w:val="00481E66"/>
    <w:rsid w:val="004829E3"/>
    <w:rsid w:val="004E1B6D"/>
    <w:rsid w:val="004E2CFC"/>
    <w:rsid w:val="004E4680"/>
    <w:rsid w:val="004E6A05"/>
    <w:rsid w:val="0050244D"/>
    <w:rsid w:val="00585017"/>
    <w:rsid w:val="005B605F"/>
    <w:rsid w:val="005C2222"/>
    <w:rsid w:val="0060237C"/>
    <w:rsid w:val="00613D24"/>
    <w:rsid w:val="006148A1"/>
    <w:rsid w:val="00616ADC"/>
    <w:rsid w:val="00636678"/>
    <w:rsid w:val="0065598B"/>
    <w:rsid w:val="00683F4A"/>
    <w:rsid w:val="006C6590"/>
    <w:rsid w:val="006D66E3"/>
    <w:rsid w:val="006E41B0"/>
    <w:rsid w:val="00706D0D"/>
    <w:rsid w:val="007110F4"/>
    <w:rsid w:val="00732D67"/>
    <w:rsid w:val="00776246"/>
    <w:rsid w:val="00776EC8"/>
    <w:rsid w:val="00791252"/>
    <w:rsid w:val="007960F8"/>
    <w:rsid w:val="007A2FE4"/>
    <w:rsid w:val="007C437F"/>
    <w:rsid w:val="00806F0A"/>
    <w:rsid w:val="00826BD3"/>
    <w:rsid w:val="008565CA"/>
    <w:rsid w:val="008679CE"/>
    <w:rsid w:val="008A11C6"/>
    <w:rsid w:val="008C7BBF"/>
    <w:rsid w:val="008D2106"/>
    <w:rsid w:val="008F7E96"/>
    <w:rsid w:val="00903FFB"/>
    <w:rsid w:val="00916060"/>
    <w:rsid w:val="0097438B"/>
    <w:rsid w:val="009878AA"/>
    <w:rsid w:val="009B4C5F"/>
    <w:rsid w:val="009B51DF"/>
    <w:rsid w:val="009B56CF"/>
    <w:rsid w:val="009D1C56"/>
    <w:rsid w:val="009E5392"/>
    <w:rsid w:val="00A07CBB"/>
    <w:rsid w:val="00A26B9B"/>
    <w:rsid w:val="00A5365C"/>
    <w:rsid w:val="00A568AB"/>
    <w:rsid w:val="00A75661"/>
    <w:rsid w:val="00A907E8"/>
    <w:rsid w:val="00AA5C50"/>
    <w:rsid w:val="00AB0331"/>
    <w:rsid w:val="00AC2709"/>
    <w:rsid w:val="00AD1D72"/>
    <w:rsid w:val="00AE4011"/>
    <w:rsid w:val="00AF4BCB"/>
    <w:rsid w:val="00AF58C1"/>
    <w:rsid w:val="00B14468"/>
    <w:rsid w:val="00B16367"/>
    <w:rsid w:val="00B30CAB"/>
    <w:rsid w:val="00B338DE"/>
    <w:rsid w:val="00B41457"/>
    <w:rsid w:val="00BA51FC"/>
    <w:rsid w:val="00BB4A6D"/>
    <w:rsid w:val="00BB528C"/>
    <w:rsid w:val="00BC2250"/>
    <w:rsid w:val="00BC2830"/>
    <w:rsid w:val="00BD764F"/>
    <w:rsid w:val="00BE3FCF"/>
    <w:rsid w:val="00C05C99"/>
    <w:rsid w:val="00C34AAA"/>
    <w:rsid w:val="00C74149"/>
    <w:rsid w:val="00C74FB1"/>
    <w:rsid w:val="00CE2D63"/>
    <w:rsid w:val="00CE5014"/>
    <w:rsid w:val="00D20E33"/>
    <w:rsid w:val="00D353DF"/>
    <w:rsid w:val="00D64E71"/>
    <w:rsid w:val="00D65A0F"/>
    <w:rsid w:val="00D725A8"/>
    <w:rsid w:val="00D76359"/>
    <w:rsid w:val="00D90591"/>
    <w:rsid w:val="00D916EF"/>
    <w:rsid w:val="00D96293"/>
    <w:rsid w:val="00DA1AB6"/>
    <w:rsid w:val="00DB3030"/>
    <w:rsid w:val="00DC4C58"/>
    <w:rsid w:val="00DD2BF1"/>
    <w:rsid w:val="00DE298D"/>
    <w:rsid w:val="00DF4CC7"/>
    <w:rsid w:val="00E060CE"/>
    <w:rsid w:val="00E47CFF"/>
    <w:rsid w:val="00E558D3"/>
    <w:rsid w:val="00E664FA"/>
    <w:rsid w:val="00E712AB"/>
    <w:rsid w:val="00E712D1"/>
    <w:rsid w:val="00E97B63"/>
    <w:rsid w:val="00ED20FD"/>
    <w:rsid w:val="00F045B0"/>
    <w:rsid w:val="00F07235"/>
    <w:rsid w:val="00F47660"/>
    <w:rsid w:val="00F516F1"/>
    <w:rsid w:val="00F56C48"/>
    <w:rsid w:val="00F629A1"/>
    <w:rsid w:val="00F918A4"/>
    <w:rsid w:val="00FB0071"/>
    <w:rsid w:val="00FC7E0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5b3d7"/>
    </o:shapedefaults>
    <o:shapelayout v:ext="edit">
      <o:idmap v:ext="edit" data="1"/>
    </o:shapelayout>
  </w:shapeDefaults>
  <w:decimalSymbol w:val="."/>
  <w:listSeparator w:val=","/>
  <w14:docId w14:val="20F37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C74149"/>
    <w:pPr>
      <w:spacing w:line="240" w:lineRule="auto"/>
    </w:pPr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85017"/>
    <w:pPr>
      <w:numPr>
        <w:numId w:val="1"/>
      </w:numPr>
      <w:spacing w:before="360" w:after="180"/>
      <w:contextualSpacing w:val="0"/>
      <w:outlineLvl w:val="0"/>
    </w:pPr>
    <w:rPr>
      <w:b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D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D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D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D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3D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017"/>
    <w:rPr>
      <w:rFonts w:ascii="Arial" w:hAnsi="Arial"/>
      <w:b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3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13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3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13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13D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3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D2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4149"/>
    <w:rPr>
      <w:rFonts w:ascii="Georgia" w:hAnsi="Georgia"/>
      <w:color w:val="244061" w:themeColor="accent1" w:themeShade="8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4149"/>
    <w:rPr>
      <w:rFonts w:ascii="Georgia" w:hAnsi="Georgia"/>
      <w:color w:val="244061" w:themeColor="accent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8D3"/>
    <w:pPr>
      <w:numPr>
        <w:ilvl w:val="1"/>
      </w:numPr>
      <w:spacing w:after="120"/>
    </w:pPr>
    <w:rPr>
      <w:rFonts w:ascii="Georgia" w:eastAsiaTheme="majorEastAsia" w:hAnsi="Georgia" w:cstheme="majorBidi"/>
      <w:b/>
      <w:iCs/>
      <w:noProof/>
      <w:color w:val="244061" w:themeColor="accent1" w:themeShade="80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E558D3"/>
    <w:rPr>
      <w:rFonts w:ascii="Georgia" w:eastAsiaTheme="majorEastAsia" w:hAnsi="Georgia" w:cstheme="majorBidi"/>
      <w:b/>
      <w:iCs/>
      <w:noProof/>
      <w:color w:val="244061" w:themeColor="accent1" w:themeShade="80"/>
      <w:lang w:eastAsia="zh-TW"/>
    </w:rPr>
  </w:style>
  <w:style w:type="character" w:styleId="Strong">
    <w:name w:val="Strong"/>
    <w:uiPriority w:val="22"/>
    <w:qFormat/>
    <w:rsid w:val="00AB0331"/>
    <w:rPr>
      <w:rFonts w:cs="Arial"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F4BCB"/>
    <w:rPr>
      <w:rFonts w:ascii="Arial" w:hAnsi="Arial" w:cs="Arial"/>
      <w:i/>
      <w:iCs/>
      <w:sz w:val="22"/>
      <w:szCs w:val="22"/>
    </w:rPr>
  </w:style>
  <w:style w:type="paragraph" w:styleId="NoSpacing">
    <w:name w:val="No Spacing"/>
    <w:aliases w:val="Normal 3,DES-No Spacing"/>
    <w:link w:val="NoSpacingChar"/>
    <w:uiPriority w:val="1"/>
    <w:qFormat/>
    <w:rsid w:val="00613D24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13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D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3D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D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3D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3D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3D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3D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3D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D24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4FB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63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3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563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3A2"/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8A11C6"/>
    <w:pPr>
      <w:ind w:left="360"/>
    </w:pPr>
  </w:style>
  <w:style w:type="character" w:customStyle="1" w:styleId="Normal2Char">
    <w:name w:val="Normal 2 Char"/>
    <w:basedOn w:val="DefaultParagraphFont"/>
    <w:link w:val="Normal2"/>
    <w:rsid w:val="008A11C6"/>
    <w:rPr>
      <w:rFonts w:ascii="Arial" w:hAnsi="Arial"/>
    </w:rPr>
  </w:style>
  <w:style w:type="paragraph" w:customStyle="1" w:styleId="InfoBlock">
    <w:name w:val="Info Block"/>
    <w:basedOn w:val="Normal"/>
    <w:link w:val="InfoBlockChar"/>
    <w:qFormat/>
    <w:rsid w:val="00B14468"/>
    <w:pPr>
      <w:spacing w:before="120" w:after="120"/>
      <w:contextualSpacing/>
    </w:pPr>
    <w:rPr>
      <w:rFonts w:cs="Arial"/>
      <w:sz w:val="20"/>
      <w:szCs w:val="20"/>
    </w:rPr>
  </w:style>
  <w:style w:type="character" w:customStyle="1" w:styleId="InfoBlockChar">
    <w:name w:val="Info Block Char"/>
    <w:basedOn w:val="DefaultParagraphFont"/>
    <w:link w:val="InfoBlock"/>
    <w:rsid w:val="00B1446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5017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585017"/>
    <w:pPr>
      <w:spacing w:after="0"/>
      <w:ind w:firstLine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5850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5850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850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licyText">
    <w:name w:val="Policy Text"/>
    <w:rsid w:val="00B16367"/>
    <w:pPr>
      <w:overflowPunct w:val="0"/>
      <w:autoSpaceDE w:val="0"/>
      <w:autoSpaceDN w:val="0"/>
      <w:adjustRightInd w:val="0"/>
      <w:spacing w:after="120" w:line="240" w:lineRule="auto"/>
      <w:ind w:left="1800"/>
    </w:pPr>
    <w:rPr>
      <w:rFonts w:ascii="Arial" w:eastAsia="Times New Roman" w:hAnsi="Arial" w:cs="Times New Roman"/>
      <w:noProof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AF4BC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F4BC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ListBullet4A">
    <w:name w:val="List Bullet 4A"/>
    <w:autoRedefine/>
    <w:rsid w:val="00AF4BCB"/>
    <w:pPr>
      <w:spacing w:before="60" w:after="60" w:line="240" w:lineRule="auto"/>
      <w:ind w:left="403"/>
    </w:pPr>
    <w:rPr>
      <w:rFonts w:ascii="Times New Roman" w:eastAsia="Times New Roman" w:hAnsi="Times New Roman" w:cs="Times New Roman"/>
      <w:noProof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5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A75661"/>
  </w:style>
  <w:style w:type="character" w:styleId="CommentReference">
    <w:name w:val="annotation reference"/>
    <w:basedOn w:val="DefaultParagraphFont"/>
    <w:uiPriority w:val="99"/>
    <w:semiHidden/>
    <w:unhideWhenUsed/>
    <w:rsid w:val="00A7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661"/>
    <w:pPr>
      <w:spacing w:after="160"/>
    </w:pPr>
    <w:rPr>
      <w:rFonts w:asciiTheme="minorHAnsi" w:hAnsiTheme="minorHAns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661"/>
    <w:rPr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4E1B6D"/>
    <w:pPr>
      <w:widowControl w:val="0"/>
      <w:spacing w:after="0"/>
    </w:pPr>
    <w:rPr>
      <w:rFonts w:asciiTheme="minorHAnsi" w:hAnsiTheme="minorHAnsi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D20F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0FD"/>
    <w:pPr>
      <w:spacing w:after="200"/>
    </w:pPr>
    <w:rPr>
      <w:rFonts w:ascii="Arial" w:hAnsi="Arial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0FD"/>
    <w:rPr>
      <w:rFonts w:ascii="Arial" w:hAnsi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.zeigler@des.w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smm/comprehensive-procurement-guideline-cpg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39A6-F1AE-489F-B4F9-B102726E4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2BA3A-9DDA-489C-9D92-C4ABB5FA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5558E-39F9-4776-90C9-5612769B96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5804d5-49c0-4153-b9d4-3ac3acf566d3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41AFF3-B5F6-44A6-AFCF-403C53D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Procedure Template</vt:lpstr>
    </vt:vector>
  </TitlesOfParts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Procedure Template</dc:title>
  <dc:creator/>
  <cp:lastModifiedBy/>
  <cp:revision>1</cp:revision>
  <dcterms:created xsi:type="dcterms:W3CDTF">2019-04-26T17:27:00Z</dcterms:created>
  <dcterms:modified xsi:type="dcterms:W3CDTF">2019-05-16T22:06:00Z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Division">
    <vt:lpwstr>IT</vt:lpwstr>
  </property>
  <property fmtid="{D5CDD505-2E9C-101B-9397-08002B2CF9AE}" pid="4" name="Type:">
    <vt:lpwstr>Enter Choice #1</vt:lpwstr>
  </property>
  <property fmtid="{D5CDD505-2E9C-101B-9397-08002B2CF9AE}" pid="5" name="Category">
    <vt:lpwstr>Template</vt:lpwstr>
  </property>
</Properties>
</file>