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0ED8" w14:textId="77777777" w:rsidR="0031055A" w:rsidRDefault="0031055A">
      <w:pPr>
        <w:pStyle w:val="BodyText"/>
        <w:ind w:left="100"/>
        <w:rPr>
          <w:rFonts w:ascii="Times New Roman"/>
          <w:sz w:val="20"/>
        </w:rPr>
      </w:pPr>
      <w:bookmarkStart w:id="0" w:name="_GoBack"/>
      <w:bookmarkEnd w:id="0"/>
    </w:p>
    <w:p w14:paraId="290228EC" w14:textId="77777777" w:rsidR="0031055A" w:rsidRDefault="00DA18E9">
      <w:pPr>
        <w:spacing w:before="4"/>
        <w:ind w:left="100"/>
        <w:rPr>
          <w:b/>
        </w:rPr>
      </w:pPr>
      <w:commentRangeStart w:id="1"/>
      <w:r>
        <w:rPr>
          <w:b/>
          <w:color w:val="1F4E79"/>
        </w:rPr>
        <w:t>Enterpris</w:t>
      </w:r>
      <w:r w:rsidR="0056445B">
        <w:rPr>
          <w:b/>
          <w:color w:val="1F4E79"/>
        </w:rPr>
        <w:t>e Services Policy No. POL-DES-13</w:t>
      </w:r>
      <w:r>
        <w:rPr>
          <w:b/>
          <w:color w:val="1F4E79"/>
        </w:rPr>
        <w:t>0-00</w:t>
      </w:r>
      <w:commentRangeEnd w:id="1"/>
      <w:r w:rsidR="00B61A0B">
        <w:rPr>
          <w:rStyle w:val="CommentReference"/>
        </w:rPr>
        <w:commentReference w:id="1"/>
      </w:r>
    </w:p>
    <w:p w14:paraId="52E89EE7" w14:textId="77777777" w:rsidR="0031055A" w:rsidRDefault="00A77C05">
      <w:pPr>
        <w:pStyle w:val="BodyText"/>
        <w:spacing w:before="5"/>
        <w:rPr>
          <w:b/>
          <w:sz w:val="15"/>
        </w:rPr>
      </w:pPr>
      <w:r>
        <w:rPr>
          <w:noProof/>
          <w:lang w:bidi="ar-SA"/>
        </w:rPr>
        <mc:AlternateContent>
          <mc:Choice Requires="wps">
            <w:drawing>
              <wp:inline distT="0" distB="0" distL="0" distR="0" wp14:anchorId="2896C7E3" wp14:editId="3B7F1BD1">
                <wp:extent cx="6437630" cy="1270"/>
                <wp:effectExtent l="0" t="0" r="20320" b="17780"/>
                <wp:docPr id="15" name="Freeform 1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6737013" id="Freeform 15" o:spid="_x0000_s1026" alt="Title: Border - Description: This is a boarder used to frame the policy." style="width:506.9pt;height:.1pt;visibility:visible;mso-wrap-style:square;mso-left-percent:-10001;mso-top-percent:-10001;mso-position-horizontal:absolute;mso-position-horizontal-relative:char;mso-position-vertical:absolute;mso-position-vertical-relative:line;mso-left-percent:-10001;mso-top-percent:-10001;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" path="m,l10138,e" filled="f" strokeweight=".48pt">
                <v:path arrowok="t" o:connecttype="custom" o:connectlocs="0,0;6437630,0" o:connectangles="0,0"/>
                <w10:anchorlock/>
              </v:shape>
            </w:pict>
          </mc:Fallback>
        </mc:AlternateContent>
      </w:r>
    </w:p>
    <w:p w14:paraId="4124F476" w14:textId="77777777" w:rsidR="0031055A" w:rsidRDefault="00A77C05">
      <w:pPr>
        <w:ind w:left="100"/>
        <w:rPr>
          <w:rFonts w:ascii="Calibri Light"/>
          <w:sz w:val="56"/>
        </w:rPr>
      </w:pPr>
      <w:r>
        <w:rPr>
          <w:rFonts w:ascii="Calibri Light"/>
          <w:color w:val="1F3862"/>
          <w:sz w:val="56"/>
        </w:rPr>
        <w:t>Emergency Purchases</w:t>
      </w:r>
      <w:r w:rsidR="00DA18E9">
        <w:rPr>
          <w:rFonts w:ascii="Calibri Light"/>
          <w:color w:val="1F3862"/>
          <w:sz w:val="56"/>
        </w:rPr>
        <w:t xml:space="preserve"> Policy</w:t>
      </w:r>
    </w:p>
    <w:p w14:paraId="41C325F6" w14:textId="77777777" w:rsidR="0031055A" w:rsidRDefault="00DA18E9">
      <w:pPr>
        <w:pStyle w:val="BodyText"/>
        <w:ind w:left="100" w:right="259"/>
      </w:pPr>
      <w:r>
        <w:rPr>
          <w:b/>
        </w:rPr>
        <w:t>Applies to</w:t>
      </w:r>
      <w:r>
        <w:t xml:space="preserve">: Any state office or activity of the executive branches of state government, including state agencies, departments, offices, divisions, boards, commissions, institutions of higher education as defined in </w:t>
      </w:r>
      <w:hyperlink r:id="rId9">
        <w:r>
          <w:rPr>
            <w:color w:val="0561C1"/>
            <w:u w:val="single" w:color="0561C1"/>
          </w:rPr>
          <w:t>RCW</w:t>
        </w:r>
      </w:hyperlink>
      <w:r>
        <w:rPr>
          <w:color w:val="0561C1"/>
        </w:rPr>
        <w:t xml:space="preserve"> </w:t>
      </w:r>
      <w:hyperlink r:id="rId10">
        <w:r>
          <w:rPr>
            <w:color w:val="0561C1"/>
            <w:u w:val="single" w:color="0561C1"/>
          </w:rPr>
          <w:t>28B.10.016</w:t>
        </w:r>
        <w:r>
          <w:rPr>
            <w:color w:val="0561C1"/>
          </w:rPr>
          <w:t xml:space="preserve"> </w:t>
        </w:r>
      </w:hyperlink>
      <w:r>
        <w:t>and correctional and other types of institutions.</w:t>
      </w:r>
    </w:p>
    <w:p w14:paraId="76943910" w14:textId="77777777" w:rsidR="0031055A" w:rsidRDefault="00DA18E9">
      <w:pPr>
        <w:pStyle w:val="Heading2"/>
        <w:spacing w:before="57"/>
        <w:ind w:left="100" w:firstLine="0"/>
        <w:rPr>
          <w:b w:val="0"/>
        </w:rPr>
      </w:pPr>
      <w:bookmarkStart w:id="2" w:name="Authorizing_sources:"/>
      <w:bookmarkEnd w:id="2"/>
      <w:r>
        <w:t>Authorizing sources</w:t>
      </w:r>
      <w:r>
        <w:rPr>
          <w:b w:val="0"/>
        </w:rPr>
        <w:t>:</w:t>
      </w:r>
    </w:p>
    <w:p w14:paraId="2F5E0DD4" w14:textId="77777777" w:rsidR="0031055A" w:rsidRPr="00E819FB" w:rsidRDefault="00DA18E9" w:rsidP="00C5004B">
      <w:pPr>
        <w:pStyle w:val="ListParagraph"/>
        <w:numPr>
          <w:ilvl w:val="0"/>
          <w:numId w:val="3"/>
        </w:numPr>
        <w:tabs>
          <w:tab w:val="left" w:pos="820"/>
          <w:tab w:val="left" w:pos="821"/>
        </w:tabs>
        <w:spacing w:before="1"/>
        <w:rPr>
          <w:rStyle w:val="Hyperlink"/>
          <w:color w:val="auto"/>
          <w:u w:val="none"/>
        </w:rPr>
      </w:pPr>
      <w:r>
        <w:t>State Law</w:t>
      </w:r>
      <w:r>
        <w:rPr>
          <w:color w:val="0561C1"/>
        </w:rPr>
        <w:t xml:space="preserve"> </w:t>
      </w:r>
      <w:hyperlink r:id="rId11" w:history="1">
        <w:r w:rsidRPr="00A77C05">
          <w:rPr>
            <w:rStyle w:val="Hyperlink"/>
            <w:u w:color="0561C1"/>
          </w:rPr>
          <w:t>RCW</w:t>
        </w:r>
        <w:r w:rsidRPr="00A77C05">
          <w:rPr>
            <w:rStyle w:val="Hyperlink"/>
            <w:spacing w:val="-23"/>
            <w:u w:color="0561C1"/>
          </w:rPr>
          <w:t xml:space="preserve"> </w:t>
        </w:r>
        <w:r w:rsidR="00A77C05" w:rsidRPr="00A77C05">
          <w:rPr>
            <w:rStyle w:val="Hyperlink"/>
            <w:u w:color="0561C1"/>
          </w:rPr>
          <w:t>39.26.13</w:t>
        </w:r>
        <w:r w:rsidRPr="00A77C05">
          <w:rPr>
            <w:rStyle w:val="Hyperlink"/>
            <w:u w:color="0561C1"/>
          </w:rPr>
          <w:t>0</w:t>
        </w:r>
      </w:hyperlink>
    </w:p>
    <w:p w14:paraId="464550F6" w14:textId="77777777" w:rsidR="000C2B35" w:rsidRPr="00010244" w:rsidRDefault="000C2B35" w:rsidP="00C5004B">
      <w:pPr>
        <w:pStyle w:val="ListParagraph"/>
        <w:numPr>
          <w:ilvl w:val="0"/>
          <w:numId w:val="3"/>
        </w:numPr>
        <w:tabs>
          <w:tab w:val="left" w:pos="820"/>
          <w:tab w:val="left" w:pos="821"/>
        </w:tabs>
        <w:spacing w:before="1"/>
        <w:rPr>
          <w:rStyle w:val="Hyperlink"/>
          <w:color w:val="auto"/>
          <w:u w:val="none"/>
        </w:rPr>
      </w:pPr>
      <w:r w:rsidRPr="00481693">
        <w:rPr>
          <w:rStyle w:val="Hyperlink"/>
          <w:color w:val="auto"/>
          <w:u w:val="none"/>
        </w:rPr>
        <w:t xml:space="preserve">State Law </w:t>
      </w:r>
      <w:hyperlink r:id="rId12" w:history="1">
        <w:r w:rsidRPr="000C2B35">
          <w:rPr>
            <w:rStyle w:val="Hyperlink"/>
            <w:u w:color="0561C1"/>
          </w:rPr>
          <w:t>RCW 39.26.125(1)</w:t>
        </w:r>
      </w:hyperlink>
    </w:p>
    <w:p w14:paraId="6C3FCA20" w14:textId="77777777" w:rsidR="0031055A" w:rsidRDefault="0031055A">
      <w:pPr>
        <w:pStyle w:val="BodyText"/>
        <w:spacing w:before="3"/>
        <w:rPr>
          <w:sz w:val="17"/>
        </w:rPr>
      </w:pPr>
    </w:p>
    <w:p w14:paraId="663A28E1" w14:textId="77777777" w:rsidR="0031055A" w:rsidRDefault="00DA18E9">
      <w:pPr>
        <w:spacing w:before="56"/>
        <w:ind w:left="100"/>
      </w:pPr>
      <w:r>
        <w:rPr>
          <w:b/>
        </w:rPr>
        <w:t>Effective date</w:t>
      </w:r>
      <w:r>
        <w:t xml:space="preserve">: </w:t>
      </w:r>
      <w:r w:rsidR="00911412" w:rsidRPr="003B03B7">
        <w:t>TBD</w:t>
      </w:r>
    </w:p>
    <w:p w14:paraId="603F384C" w14:textId="77777777" w:rsidR="0031055A" w:rsidRDefault="00DA18E9">
      <w:pPr>
        <w:spacing w:before="82"/>
        <w:ind w:left="100"/>
      </w:pPr>
      <w:r>
        <w:rPr>
          <w:b/>
        </w:rPr>
        <w:t>Last update</w:t>
      </w:r>
      <w:r>
        <w:t xml:space="preserve">: </w:t>
      </w:r>
      <w:r w:rsidR="00AE7C6B">
        <w:t>January 8, 2015</w:t>
      </w:r>
    </w:p>
    <w:p w14:paraId="745F9F69" w14:textId="32A76B54" w:rsidR="0031055A" w:rsidRDefault="00DA18E9">
      <w:pPr>
        <w:spacing w:before="82"/>
        <w:ind w:left="100"/>
        <w:rPr>
          <w:i/>
        </w:rPr>
      </w:pPr>
      <w:r>
        <w:rPr>
          <w:b/>
        </w:rPr>
        <w:t>Sunset review date</w:t>
      </w:r>
      <w:r>
        <w:t xml:space="preserve">: </w:t>
      </w:r>
      <w:r w:rsidRPr="00837C1A">
        <w:t>5 years from effective date</w:t>
      </w:r>
    </w:p>
    <w:p w14:paraId="13737D40" w14:textId="77777777" w:rsidR="0031055A" w:rsidRDefault="00DA18E9">
      <w:pPr>
        <w:tabs>
          <w:tab w:val="left" w:pos="5653"/>
        </w:tabs>
        <w:spacing w:before="82"/>
        <w:ind w:left="100"/>
      </w:pPr>
      <w:r>
        <w:rPr>
          <w:b/>
        </w:rPr>
        <w:t>Approved</w:t>
      </w:r>
      <w:r>
        <w:rPr>
          <w:b/>
          <w:spacing w:val="-5"/>
        </w:rPr>
        <w:t xml:space="preserve"> </w:t>
      </w:r>
      <w:r>
        <w:rPr>
          <w:b/>
        </w:rPr>
        <w:t>by</w:t>
      </w:r>
      <w:r>
        <w:t>:</w:t>
      </w:r>
      <w:r>
        <w:rPr>
          <w:u w:val="single"/>
        </w:rPr>
        <w:t xml:space="preserve"> </w:t>
      </w:r>
      <w:r>
        <w:rPr>
          <w:u w:val="single"/>
        </w:rPr>
        <w:tab/>
      </w:r>
      <w:r w:rsidR="00F662A3">
        <w:t>Chris Liu, Director</w:t>
      </w:r>
    </w:p>
    <w:p w14:paraId="5098CEB3" w14:textId="77777777" w:rsidR="0031055A" w:rsidRDefault="0031055A">
      <w:pPr>
        <w:pStyle w:val="BodyText"/>
        <w:spacing w:before="8"/>
        <w:rPr>
          <w:sz w:val="19"/>
        </w:rPr>
      </w:pPr>
    </w:p>
    <w:p w14:paraId="113E89B0" w14:textId="77777777" w:rsidR="0031055A" w:rsidRDefault="00A77C05">
      <w:pPr>
        <w:pStyle w:val="BodyText"/>
        <w:spacing w:line="20" w:lineRule="exact"/>
        <w:ind w:left="-45"/>
        <w:rPr>
          <w:sz w:val="2"/>
        </w:rPr>
      </w:pPr>
      <w:r>
        <w:rPr>
          <w:noProof/>
          <w:sz w:val="2"/>
          <w:lang w:bidi="ar-SA"/>
        </w:rPr>
        <mc:AlternateContent>
          <mc:Choice Requires="wpg">
            <w:drawing>
              <wp:inline distT="0" distB="0" distL="0" distR="0" wp14:anchorId="165AFE4A" wp14:editId="3BDA1CCC">
                <wp:extent cx="6437630" cy="6350"/>
                <wp:effectExtent l="12700" t="3175" r="7620" b="9525"/>
                <wp:docPr id="13" name="Group 13" descr="This is a boarder used to frame the policy." title="Boa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4" name="Line 14"/>
                        <wps:cNvCnPr>
                          <a:cxnSpLocks noChangeShapeType="1"/>
                        </wps:cNvCnPr>
                        <wps:spPr bwMode="auto">
                          <a:xfrm>
                            <a:off x="0" y="5"/>
                            <a:ext cx="101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72B6A" id="Group 13" o:spid="_x0000_s1026" alt="Title: Boarder - Description: This is a boarder used to frame the policy."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HGGyzCqAgAA2gUAAA4AAAAAAAAAAAAAAAAA&#10;LgIAAGRycy9lMm9Eb2MueG1sUEsBAi0AFAAGAAgAAAAhAEfnXIDZAAAABAEAAA8AAAAAAAAAAAAA&#10;AAAABAUAAGRycy9kb3ducmV2LnhtbFBLBQYAAAAABAAEAPMAAAAKBgAAAAA=&#10;">
                <v:line id="Line 14" o:spid="_x0000_s1027"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w10:anchorlock/>
              </v:group>
            </w:pict>
          </mc:Fallback>
        </mc:AlternateContent>
      </w:r>
    </w:p>
    <w:p w14:paraId="2734E48E" w14:textId="77777777" w:rsidR="0031055A" w:rsidRDefault="00DA18E9">
      <w:pPr>
        <w:pStyle w:val="Heading1"/>
      </w:pPr>
      <w:bookmarkStart w:id="3" w:name="Reason_for_Policy"/>
      <w:bookmarkEnd w:id="3"/>
      <w:commentRangeStart w:id="4"/>
      <w:r>
        <w:rPr>
          <w:color w:val="2C74B5"/>
        </w:rPr>
        <w:t>Reason for Policy</w:t>
      </w:r>
      <w:commentRangeEnd w:id="4"/>
      <w:r w:rsidR="00066B69">
        <w:rPr>
          <w:rStyle w:val="CommentReference"/>
          <w:rFonts w:ascii="Calibri" w:eastAsia="Calibri" w:hAnsi="Calibri" w:cs="Calibri"/>
        </w:rPr>
        <w:commentReference w:id="4"/>
      </w:r>
    </w:p>
    <w:p w14:paraId="3330D73B" w14:textId="17A02920" w:rsidR="00B61A0B" w:rsidRDefault="00010244" w:rsidP="00FD631F">
      <w:pPr>
        <w:pStyle w:val="BodyText"/>
        <w:spacing w:before="91"/>
        <w:ind w:left="101" w:right="144"/>
        <w:contextualSpacing/>
      </w:pPr>
      <w:r w:rsidRPr="00010244">
        <w:t xml:space="preserve">This policy establishes </w:t>
      </w:r>
      <w:r>
        <w:t>criteria and qualifications,</w:t>
      </w:r>
      <w:r w:rsidRPr="00010244">
        <w:t xml:space="preserve"> repor</w:t>
      </w:r>
      <w:r>
        <w:t xml:space="preserve">ting requirements and timelines, and </w:t>
      </w:r>
      <w:r w:rsidRPr="00010244">
        <w:t>reporting exemptions</w:t>
      </w:r>
      <w:r w:rsidR="000C2B35">
        <w:t xml:space="preserve"> related to emergency purchases</w:t>
      </w:r>
      <w:r>
        <w:t>.</w:t>
      </w:r>
      <w:r w:rsidR="00BC33C3">
        <w:t xml:space="preserve"> See RCW 39.26.130</w:t>
      </w:r>
      <w:r w:rsidR="00FA7933">
        <w:t>. These</w:t>
      </w:r>
      <w:r w:rsidR="00FA7933" w:rsidRPr="00010244">
        <w:t xml:space="preserve"> reporting requirements promote state agency transparency</w:t>
      </w:r>
      <w:r w:rsidR="00FA7933">
        <w:t xml:space="preserve"> of</w:t>
      </w:r>
      <w:r w:rsidR="00FA7933" w:rsidRPr="00FA7933">
        <w:t xml:space="preserve"> emergency purchases </w:t>
      </w:r>
      <w:r w:rsidR="00FA7933">
        <w:t>which are excepted from competition.</w:t>
      </w:r>
      <w:r w:rsidR="00BC33C3">
        <w:t xml:space="preserve"> See </w:t>
      </w:r>
      <w:r>
        <w:t>RCW 39.36.125(1)</w:t>
      </w:r>
      <w:r w:rsidRPr="00010244">
        <w:t xml:space="preserve">. </w:t>
      </w:r>
    </w:p>
    <w:p w14:paraId="76567DF3" w14:textId="77777777" w:rsidR="00FD631F" w:rsidRDefault="00FD631F" w:rsidP="00FD631F">
      <w:pPr>
        <w:pStyle w:val="BodyText"/>
        <w:spacing w:before="91"/>
        <w:ind w:left="101" w:right="144"/>
        <w:contextualSpacing/>
      </w:pPr>
    </w:p>
    <w:p w14:paraId="73BDBC63" w14:textId="77777777" w:rsidR="00B61A0B" w:rsidRDefault="00B61A0B" w:rsidP="00FD631F">
      <w:pPr>
        <w:pStyle w:val="BodyText"/>
        <w:spacing w:before="91"/>
        <w:ind w:right="148"/>
        <w:contextualSpacing/>
      </w:pPr>
      <w:r>
        <w:rPr>
          <w:noProof/>
          <w:sz w:val="2"/>
          <w:lang w:bidi="ar-SA"/>
        </w:rPr>
        <mc:AlternateContent>
          <mc:Choice Requires="wpg">
            <w:drawing>
              <wp:inline distT="0" distB="0" distL="0" distR="0" wp14:anchorId="398F95A0" wp14:editId="546BFAF5">
                <wp:extent cx="6437630" cy="6350"/>
                <wp:effectExtent l="12700" t="3175" r="7620" b="9525"/>
                <wp:docPr id="3" name="Group 3" descr="This is a boarder used to frame the policy." title="Boa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4" name="Line 14"/>
                        <wps:cNvCnPr>
                          <a:cxnSpLocks noChangeShapeType="1"/>
                        </wps:cNvCnPr>
                        <wps:spPr bwMode="auto">
                          <a:xfrm>
                            <a:off x="0" y="5"/>
                            <a:ext cx="101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7940F" id="Group 3" o:spid="_x0000_s1026" alt="Title: Boarder - Description: This is a boarder used to frame the policy."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">
                <v:line id="Line 14" o:spid="_x0000_s1027"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w10:anchorlock/>
              </v:group>
            </w:pict>
          </mc:Fallback>
        </mc:AlternateContent>
      </w:r>
    </w:p>
    <w:p w14:paraId="50F10685" w14:textId="1428D53B" w:rsidR="00B61A0B" w:rsidRPr="0096251A" w:rsidRDefault="0056445B" w:rsidP="00FD631F">
      <w:pPr>
        <w:pStyle w:val="Heading1"/>
        <w:contextualSpacing/>
        <w:rPr>
          <w:color w:val="4376B3"/>
        </w:rPr>
      </w:pPr>
      <w:r w:rsidRPr="0096251A">
        <w:rPr>
          <w:color w:val="4376B3"/>
        </w:rPr>
        <w:t>POL-DES-13</w:t>
      </w:r>
      <w:r w:rsidR="00B61A0B" w:rsidRPr="0096251A">
        <w:rPr>
          <w:color w:val="4376B3"/>
        </w:rPr>
        <w:t xml:space="preserve">0-00 </w:t>
      </w:r>
      <w:r w:rsidR="000D4C1B">
        <w:rPr>
          <w:color w:val="4376B3"/>
        </w:rPr>
        <w:t>Emergency Purchases</w:t>
      </w:r>
    </w:p>
    <w:p w14:paraId="4993ED2A" w14:textId="77777777" w:rsidR="0031055A" w:rsidRDefault="0031055A">
      <w:pPr>
        <w:pStyle w:val="BodyText"/>
        <w:spacing w:before="9"/>
        <w:rPr>
          <w:sz w:val="19"/>
        </w:rPr>
      </w:pPr>
    </w:p>
    <w:p w14:paraId="4AFE3DB9" w14:textId="77777777" w:rsidR="0031055A" w:rsidRDefault="000C2B35" w:rsidP="00FD631F">
      <w:pPr>
        <w:pStyle w:val="Heading2"/>
      </w:pPr>
      <w:bookmarkStart w:id="5" w:name="POL-DES-140-00_Sole_Source_Contract_Poli"/>
      <w:bookmarkEnd w:id="5"/>
      <w:commentRangeStart w:id="6"/>
      <w:r>
        <w:t>Qualifying Criteria</w:t>
      </w:r>
      <w:commentRangeEnd w:id="6"/>
      <w:r w:rsidR="00066B69">
        <w:rPr>
          <w:rStyle w:val="CommentReference"/>
          <w:b w:val="0"/>
          <w:bCs w:val="0"/>
        </w:rPr>
        <w:commentReference w:id="6"/>
      </w:r>
    </w:p>
    <w:p w14:paraId="1692B767" w14:textId="77777777" w:rsidR="00FA7933" w:rsidRPr="00C2012E" w:rsidRDefault="00FA7933" w:rsidP="0004763D">
      <w:pPr>
        <w:pStyle w:val="BodyText"/>
        <w:numPr>
          <w:ilvl w:val="0"/>
          <w:numId w:val="2"/>
        </w:numPr>
      </w:pPr>
      <w:bookmarkStart w:id="7" w:name="1._Sole_source_is_an_exception_to_compet"/>
      <w:bookmarkEnd w:id="7"/>
      <w:r w:rsidRPr="00C2012E">
        <w:t xml:space="preserve">To qualify as an emergency </w:t>
      </w:r>
      <w:r w:rsidR="00F26603" w:rsidRPr="00C2012E">
        <w:t>purchase</w:t>
      </w:r>
      <w:r w:rsidRPr="00C2012E">
        <w:t>, the emergency event must represent a set of unforeseen circumstances beyond the control of the agency that either:</w:t>
      </w:r>
    </w:p>
    <w:p w14:paraId="1592B20D" w14:textId="77777777" w:rsidR="00FA7933" w:rsidRDefault="00FA7933" w:rsidP="00FA7933">
      <w:pPr>
        <w:pStyle w:val="BodyText"/>
        <w:numPr>
          <w:ilvl w:val="1"/>
          <w:numId w:val="2"/>
        </w:numPr>
        <w:ind w:right="204"/>
      </w:pPr>
      <w:r w:rsidRPr="0090756E">
        <w:t>Presents a real, immediate, and extreme threat to the proper</w:t>
      </w:r>
      <w:r>
        <w:t xml:space="preserve"> </w:t>
      </w:r>
      <w:r w:rsidRPr="0090756E">
        <w:t>performance of essential functions; or</w:t>
      </w:r>
    </w:p>
    <w:p w14:paraId="37C56913" w14:textId="77777777" w:rsidR="00FA7933" w:rsidRDefault="00FA7933" w:rsidP="00FA7933">
      <w:pPr>
        <w:pStyle w:val="BodyText"/>
        <w:numPr>
          <w:ilvl w:val="1"/>
          <w:numId w:val="2"/>
        </w:numPr>
        <w:ind w:right="204"/>
      </w:pPr>
      <w:r w:rsidRPr="0090756E">
        <w:t>May reasonably be expected to result in material loss or damage to</w:t>
      </w:r>
      <w:r>
        <w:t xml:space="preserve"> </w:t>
      </w:r>
      <w:r w:rsidRPr="0090756E">
        <w:t>property, bodily injury, or loss of life, if immediate action is not</w:t>
      </w:r>
      <w:r>
        <w:t xml:space="preserve"> </w:t>
      </w:r>
      <w:r w:rsidRPr="0090756E">
        <w:t>taken.</w:t>
      </w:r>
    </w:p>
    <w:p w14:paraId="2B5CDB44" w14:textId="77777777" w:rsidR="00FA7933" w:rsidRDefault="00FA7933" w:rsidP="00FA7933">
      <w:pPr>
        <w:pStyle w:val="BodyText"/>
        <w:ind w:left="1091" w:right="204"/>
      </w:pPr>
    </w:p>
    <w:p w14:paraId="24547F9E" w14:textId="77777777" w:rsidR="00FA7933" w:rsidRPr="00E819FB" w:rsidRDefault="00FA7933" w:rsidP="00FD631F">
      <w:pPr>
        <w:pStyle w:val="Heading2"/>
      </w:pPr>
      <w:commentRangeStart w:id="8"/>
      <w:r w:rsidRPr="00E819FB">
        <w:t>Reporting Requirements</w:t>
      </w:r>
      <w:commentRangeEnd w:id="8"/>
      <w:r w:rsidR="00066B69">
        <w:rPr>
          <w:rStyle w:val="CommentReference"/>
          <w:b w:val="0"/>
          <w:bCs w:val="0"/>
        </w:rPr>
        <w:commentReference w:id="8"/>
      </w:r>
    </w:p>
    <w:p w14:paraId="58B0A7EA" w14:textId="77777777" w:rsidR="007C46C0" w:rsidRPr="00C2012E" w:rsidRDefault="007C46C0" w:rsidP="007C46C0">
      <w:pPr>
        <w:pStyle w:val="BodyText"/>
        <w:numPr>
          <w:ilvl w:val="0"/>
          <w:numId w:val="10"/>
        </w:numPr>
        <w:ind w:right="206"/>
      </w:pPr>
      <w:r w:rsidRPr="00C2012E">
        <w:t xml:space="preserve">Emergency purchases are an exception to competition requirements and must be reported to DES. </w:t>
      </w:r>
    </w:p>
    <w:p w14:paraId="0C269BD8" w14:textId="77777777" w:rsidR="007C46C0" w:rsidRDefault="007C46C0" w:rsidP="007C46C0">
      <w:pPr>
        <w:pStyle w:val="BodyText"/>
        <w:ind w:left="551" w:right="206"/>
      </w:pPr>
      <w:r w:rsidRPr="006B4D86">
        <w:t xml:space="preserve">If an agency concludes that an emergency purchase is justified and necessary, the agency head must submit written notification within three business days </w:t>
      </w:r>
      <w:r>
        <w:t xml:space="preserve">of the purchase </w:t>
      </w:r>
      <w:r w:rsidRPr="006B4D86">
        <w:t>to the Department of Ent</w:t>
      </w:r>
      <w:r>
        <w:t xml:space="preserve">erprise Services (DES) director. </w:t>
      </w:r>
    </w:p>
    <w:p w14:paraId="40356D28" w14:textId="77777777" w:rsidR="007C46C0" w:rsidRDefault="007C46C0" w:rsidP="00B86609">
      <w:pPr>
        <w:pStyle w:val="BodyText"/>
        <w:numPr>
          <w:ilvl w:val="1"/>
          <w:numId w:val="10"/>
        </w:numPr>
        <w:ind w:right="204"/>
      </w:pPr>
      <w:r>
        <w:t>This notification must contain a description of the purchase, a description of the emergency and the circumstances leading up to the emergency, and an explanation of why the circumstances required an emergency purchase.</w:t>
      </w:r>
    </w:p>
    <w:p w14:paraId="5CA98081" w14:textId="77777777" w:rsidR="00FA7933" w:rsidRDefault="00B02FB9" w:rsidP="009C7706">
      <w:pPr>
        <w:pStyle w:val="BodyText"/>
        <w:numPr>
          <w:ilvl w:val="0"/>
          <w:numId w:val="10"/>
        </w:numPr>
        <w:ind w:right="204"/>
      </w:pPr>
      <w:r>
        <w:t>In addition to the requirement in section one above, a</w:t>
      </w:r>
      <w:r w:rsidR="00FA7933">
        <w:t xml:space="preserve">ll emergency </w:t>
      </w:r>
      <w:r w:rsidR="000C2B35">
        <w:t xml:space="preserve">purchases </w:t>
      </w:r>
      <w:r w:rsidR="00FA7933">
        <w:t xml:space="preserve">must be </w:t>
      </w:r>
      <w:r w:rsidR="00E213DD">
        <w:t>submitted to</w:t>
      </w:r>
      <w:r w:rsidR="00911412">
        <w:t xml:space="preserve"> DES</w:t>
      </w:r>
      <w:r w:rsidR="00FA7933">
        <w:t xml:space="preserve"> using the DES </w:t>
      </w:r>
      <w:r w:rsidR="00FA7933" w:rsidRPr="00FA7933">
        <w:t>Sole Source Contracts Database (SSCD)</w:t>
      </w:r>
      <w:r w:rsidR="00FA7933">
        <w:t xml:space="preserve"> within</w:t>
      </w:r>
      <w:r w:rsidR="00E213DD">
        <w:t xml:space="preserve"> three</w:t>
      </w:r>
      <w:r w:rsidR="00FA7933">
        <w:t xml:space="preserve"> </w:t>
      </w:r>
      <w:r w:rsidR="00E213DD">
        <w:t>business days following the commencement of work or execution of the c</w:t>
      </w:r>
      <w:r w:rsidR="007C46C0">
        <w:t>ontract, whichever occurs first</w:t>
      </w:r>
      <w:r w:rsidR="00FA7933" w:rsidRPr="00FA7933">
        <w:t xml:space="preserve">. </w:t>
      </w:r>
    </w:p>
    <w:p w14:paraId="6DB3C10F" w14:textId="77777777" w:rsidR="00FA7933" w:rsidRDefault="00FA7933" w:rsidP="00FA7933">
      <w:pPr>
        <w:pStyle w:val="BodyText"/>
        <w:ind w:left="551" w:right="204"/>
      </w:pPr>
    </w:p>
    <w:p w14:paraId="24024161" w14:textId="77777777" w:rsidR="00FA7933" w:rsidRPr="00FA7933" w:rsidRDefault="00FA7933" w:rsidP="00FA7933">
      <w:pPr>
        <w:pStyle w:val="BodyText"/>
        <w:ind w:left="551" w:right="204"/>
      </w:pPr>
      <w:r w:rsidRPr="00FA7933">
        <w:t>The SSCD will prompt the agency to provide the following information:</w:t>
      </w:r>
    </w:p>
    <w:p w14:paraId="0592F37E" w14:textId="77777777" w:rsidR="00FA7933" w:rsidRPr="00FA7933" w:rsidRDefault="00FA7933" w:rsidP="00FA7933">
      <w:pPr>
        <w:pStyle w:val="BodyText"/>
        <w:numPr>
          <w:ilvl w:val="0"/>
          <w:numId w:val="4"/>
        </w:numPr>
        <w:ind w:right="204"/>
      </w:pPr>
      <w:r w:rsidRPr="00FA7933">
        <w:t>An overview of the nature of the emergency including relevant circumstances.</w:t>
      </w:r>
    </w:p>
    <w:p w14:paraId="7193E6A9" w14:textId="77777777" w:rsidR="00FA7933" w:rsidRPr="00FA7933" w:rsidRDefault="00FA7933" w:rsidP="00FA7933">
      <w:pPr>
        <w:pStyle w:val="BodyText"/>
        <w:numPr>
          <w:ilvl w:val="0"/>
          <w:numId w:val="4"/>
        </w:numPr>
        <w:ind w:right="204"/>
      </w:pPr>
      <w:r w:rsidRPr="00FA7933">
        <w:t xml:space="preserve">A description of the threat to the health or safety of individuals, property, or essential state functions </w:t>
      </w:r>
      <w:r w:rsidRPr="00FA7933">
        <w:lastRenderedPageBreak/>
        <w:t>if immediate action is not taken to include an estimate of the potential material loss or damage.</w:t>
      </w:r>
    </w:p>
    <w:p w14:paraId="5204E2F2" w14:textId="77777777" w:rsidR="00FA7933" w:rsidRPr="00FA7933" w:rsidRDefault="00FA7933" w:rsidP="00FA7933">
      <w:pPr>
        <w:pStyle w:val="BodyText"/>
        <w:numPr>
          <w:ilvl w:val="0"/>
          <w:numId w:val="4"/>
        </w:numPr>
        <w:ind w:right="204"/>
      </w:pPr>
      <w:r w:rsidRPr="00FA7933">
        <w:t>An account of how the contractor alleviated or eliminated the emergency to include a description of what the consequences would have been if the emergency action had not been taken and the risks associated with inaction.</w:t>
      </w:r>
    </w:p>
    <w:p w14:paraId="20833A01" w14:textId="77777777" w:rsidR="00FA7933" w:rsidRPr="00FA7933" w:rsidRDefault="00FA7933" w:rsidP="00FA7933">
      <w:pPr>
        <w:pStyle w:val="BodyText"/>
        <w:numPr>
          <w:ilvl w:val="0"/>
          <w:numId w:val="4"/>
        </w:numPr>
        <w:ind w:right="204"/>
      </w:pPr>
      <w:r w:rsidRPr="00FA7933">
        <w:t>A summary of the contractor’s qualifications, experience and background to provide the emergency service and the basis on which this contractor was selected over other qualified firms.</w:t>
      </w:r>
    </w:p>
    <w:p w14:paraId="6554F4E7" w14:textId="77777777" w:rsidR="00FA7933" w:rsidRPr="00FA7933" w:rsidRDefault="00FA7933" w:rsidP="00FA7933">
      <w:pPr>
        <w:pStyle w:val="BodyText"/>
        <w:numPr>
          <w:ilvl w:val="0"/>
          <w:numId w:val="4"/>
        </w:numPr>
        <w:ind w:right="204"/>
      </w:pPr>
      <w:r w:rsidRPr="00FA7933">
        <w:t>Specify the costs, fees, or rates for the purchase.</w:t>
      </w:r>
    </w:p>
    <w:p w14:paraId="07443922" w14:textId="77777777" w:rsidR="0086045B" w:rsidRDefault="00FA7933" w:rsidP="00E819FB">
      <w:pPr>
        <w:pStyle w:val="BodyText"/>
        <w:numPr>
          <w:ilvl w:val="0"/>
          <w:numId w:val="4"/>
        </w:numPr>
        <w:ind w:right="204"/>
      </w:pPr>
      <w:r w:rsidRPr="00FA7933">
        <w:t>An uploaded copy of an Emergency Memo that has been signed by the agency head.</w:t>
      </w:r>
      <w:bookmarkStart w:id="9" w:name="3._Transparency."/>
      <w:bookmarkEnd w:id="9"/>
    </w:p>
    <w:p w14:paraId="5F508073" w14:textId="77777777" w:rsidR="00E819FB" w:rsidRPr="00E819FB" w:rsidRDefault="00E819FB" w:rsidP="00E819FB">
      <w:pPr>
        <w:pStyle w:val="BodyText"/>
        <w:ind w:right="204"/>
      </w:pPr>
    </w:p>
    <w:p w14:paraId="2E5CB756" w14:textId="77777777" w:rsidR="00FA7933" w:rsidRPr="009C2E63" w:rsidRDefault="00FA7933" w:rsidP="00FD631F">
      <w:pPr>
        <w:pStyle w:val="Heading2"/>
      </w:pPr>
      <w:commentRangeStart w:id="10"/>
      <w:r w:rsidRPr="009C2E63">
        <w:t>Transparency</w:t>
      </w:r>
      <w:commentRangeEnd w:id="10"/>
      <w:r w:rsidR="008570F2">
        <w:rPr>
          <w:rStyle w:val="CommentReference"/>
          <w:b w:val="0"/>
          <w:bCs w:val="0"/>
        </w:rPr>
        <w:commentReference w:id="10"/>
      </w:r>
    </w:p>
    <w:p w14:paraId="35F225E0" w14:textId="77777777" w:rsidR="00551CBD" w:rsidRDefault="00FA7933" w:rsidP="00551CBD">
      <w:pPr>
        <w:pStyle w:val="ListParagraph"/>
        <w:ind w:left="551" w:firstLine="0"/>
        <w:rPr>
          <w:bCs/>
        </w:rPr>
      </w:pPr>
      <w:r w:rsidRPr="003C2699">
        <w:rPr>
          <w:bCs/>
        </w:rPr>
        <w:t xml:space="preserve">RCW 39.26.130(2) requires that within </w:t>
      </w:r>
      <w:r w:rsidR="00551CBD">
        <w:rPr>
          <w:bCs/>
        </w:rPr>
        <w:t>three</w:t>
      </w:r>
      <w:r w:rsidRPr="003C2699">
        <w:rPr>
          <w:bCs/>
        </w:rPr>
        <w:t xml:space="preserve"> business days of commencing work or executing the emergency contract, whichever comes first, </w:t>
      </w:r>
      <w:r w:rsidR="00B02FB9">
        <w:rPr>
          <w:bCs/>
        </w:rPr>
        <w:t xml:space="preserve">the contracting </w:t>
      </w:r>
      <w:r w:rsidRPr="003C2699">
        <w:rPr>
          <w:bCs/>
        </w:rPr>
        <w:t xml:space="preserve">state agency must make the emergency contract available for public inspection. </w:t>
      </w:r>
    </w:p>
    <w:p w14:paraId="25A3CEBB" w14:textId="77777777" w:rsidR="001C0C56" w:rsidRDefault="001C0C56" w:rsidP="00551CBD">
      <w:pPr>
        <w:pStyle w:val="ListParagraph"/>
        <w:ind w:left="551" w:firstLine="0"/>
        <w:rPr>
          <w:bCs/>
        </w:rPr>
      </w:pPr>
    </w:p>
    <w:p w14:paraId="183E92EF" w14:textId="77777777" w:rsidR="00FA7933" w:rsidRPr="001C0C56" w:rsidRDefault="00FA7933" w:rsidP="001C0C56">
      <w:pPr>
        <w:ind w:left="551"/>
        <w:rPr>
          <w:bCs/>
        </w:rPr>
      </w:pPr>
      <w:r w:rsidRPr="001C0C56">
        <w:rPr>
          <w:bCs/>
        </w:rPr>
        <w:t xml:space="preserve">The state agency may either post the emergency contract on the agency website or post summary information that </w:t>
      </w:r>
      <w:r w:rsidR="00B02FB9">
        <w:rPr>
          <w:bCs/>
        </w:rPr>
        <w:t xml:space="preserve">that explains how to obtain </w:t>
      </w:r>
      <w:r w:rsidRPr="001C0C56">
        <w:rPr>
          <w:bCs/>
        </w:rPr>
        <w:t>a copy of the emergency contract.</w:t>
      </w:r>
    </w:p>
    <w:p w14:paraId="33979ABD" w14:textId="77777777" w:rsidR="00FA7933" w:rsidRDefault="00FA7933" w:rsidP="0086045B">
      <w:pPr>
        <w:ind w:left="551"/>
        <w:jc w:val="both"/>
        <w:rPr>
          <w:sz w:val="21"/>
        </w:rPr>
      </w:pPr>
    </w:p>
    <w:p w14:paraId="5A181C2D" w14:textId="77777777" w:rsidR="00C76D83" w:rsidRPr="00FD631F" w:rsidRDefault="00C76D83" w:rsidP="00FD631F">
      <w:pPr>
        <w:pStyle w:val="Heading2"/>
      </w:pPr>
      <w:bookmarkStart w:id="11" w:name="5._Exemptions:"/>
      <w:bookmarkEnd w:id="11"/>
      <w:commentRangeStart w:id="12"/>
      <w:r w:rsidRPr="00FD631F">
        <w:t>Compliance</w:t>
      </w:r>
      <w:commentRangeEnd w:id="12"/>
      <w:r w:rsidR="008570F2">
        <w:rPr>
          <w:rStyle w:val="CommentReference"/>
          <w:b w:val="0"/>
          <w:bCs w:val="0"/>
        </w:rPr>
        <w:commentReference w:id="12"/>
      </w:r>
    </w:p>
    <w:p w14:paraId="69FDCA2E" w14:textId="77777777" w:rsidR="0090756E" w:rsidRDefault="0090756E" w:rsidP="00C76D83">
      <w:pPr>
        <w:pStyle w:val="BodyText"/>
        <w:spacing w:before="6"/>
        <w:ind w:left="551"/>
      </w:pPr>
      <w:r w:rsidRPr="00C375B1">
        <w:t xml:space="preserve">Emergency </w:t>
      </w:r>
      <w:r w:rsidR="00F26603">
        <w:t>purchases</w:t>
      </w:r>
      <w:r w:rsidR="00F26603" w:rsidRPr="00C375B1">
        <w:t xml:space="preserve"> </w:t>
      </w:r>
      <w:r w:rsidRPr="00C375B1">
        <w:t xml:space="preserve">are not approved by DES. However, DES will review all agency records for compliance with emergency </w:t>
      </w:r>
      <w:r w:rsidR="00F26603">
        <w:t>purchase</w:t>
      </w:r>
      <w:r w:rsidR="00F26603" w:rsidRPr="00C375B1">
        <w:t xml:space="preserve"> </w:t>
      </w:r>
      <w:r w:rsidRPr="00C375B1">
        <w:t xml:space="preserve">requirements as part of the agency’s </w:t>
      </w:r>
      <w:r w:rsidR="00B02FB9">
        <w:t xml:space="preserve">procurement </w:t>
      </w:r>
      <w:r w:rsidRPr="00C375B1">
        <w:t xml:space="preserve">risk assessment. </w:t>
      </w:r>
      <w:commentRangeStart w:id="13"/>
      <w:r w:rsidR="00B02FB9">
        <w:t>Lack of c</w:t>
      </w:r>
      <w:r w:rsidR="00B02FB9" w:rsidRPr="00C375B1">
        <w:t xml:space="preserve">ompliance </w:t>
      </w:r>
      <w:r w:rsidRPr="00C375B1">
        <w:t>may influence an agency's delegated authority.</w:t>
      </w:r>
      <w:commentRangeEnd w:id="13"/>
      <w:r w:rsidR="008570F2">
        <w:rPr>
          <w:rStyle w:val="CommentReference"/>
        </w:rPr>
        <w:commentReference w:id="13"/>
      </w:r>
    </w:p>
    <w:p w14:paraId="48422CC3" w14:textId="77777777" w:rsidR="00E819FB" w:rsidRDefault="00E819FB" w:rsidP="00C76D83">
      <w:pPr>
        <w:pStyle w:val="BodyText"/>
        <w:spacing w:before="6"/>
        <w:ind w:left="551"/>
      </w:pPr>
    </w:p>
    <w:p w14:paraId="2DBC1DD1" w14:textId="77777777" w:rsidR="00E819FB" w:rsidRPr="00FD631F" w:rsidRDefault="00E819FB" w:rsidP="00FD631F">
      <w:pPr>
        <w:pStyle w:val="Heading2"/>
      </w:pPr>
      <w:commentRangeStart w:id="14"/>
      <w:r w:rsidRPr="00FD631F">
        <w:t xml:space="preserve">Additional Requirements </w:t>
      </w:r>
      <w:commentRangeEnd w:id="14"/>
      <w:r w:rsidR="008570F2">
        <w:rPr>
          <w:rStyle w:val="CommentReference"/>
          <w:b w:val="0"/>
          <w:bCs w:val="0"/>
        </w:rPr>
        <w:commentReference w:id="14"/>
      </w:r>
    </w:p>
    <w:p w14:paraId="24D0A0C3" w14:textId="6F9D0A1D" w:rsidR="00E819FB" w:rsidRPr="00E819FB" w:rsidRDefault="0009393A" w:rsidP="00EB3EE7">
      <w:pPr>
        <w:pStyle w:val="BodyText"/>
        <w:numPr>
          <w:ilvl w:val="0"/>
          <w:numId w:val="12"/>
        </w:numPr>
      </w:pPr>
      <w:r>
        <w:t xml:space="preserve">When possible, </w:t>
      </w:r>
      <w:r w:rsidR="00E819FB" w:rsidRPr="00E819FB">
        <w:t xml:space="preserve">Agencies are expected to </w:t>
      </w:r>
      <w:r w:rsidR="00B02FB9">
        <w:t>use</w:t>
      </w:r>
      <w:r w:rsidR="00B02FB9" w:rsidRPr="00E819FB">
        <w:t xml:space="preserve"> </w:t>
      </w:r>
      <w:r w:rsidR="00E819FB" w:rsidRPr="00E819FB">
        <w:t xml:space="preserve">existing qualified master contracts except when the contract cannot justifiably satisfy </w:t>
      </w:r>
      <w:r w:rsidR="00B02FB9">
        <w:t>“</w:t>
      </w:r>
      <w:r w:rsidR="00E819FB" w:rsidRPr="00E819FB">
        <w:t>agency needs.</w:t>
      </w:r>
      <w:r w:rsidR="00B02FB9">
        <w:t>”</w:t>
      </w:r>
      <w:r w:rsidR="00E819FB" w:rsidRPr="00E819FB">
        <w:t xml:space="preserve"> </w:t>
      </w:r>
      <w:r w:rsidR="00B02FB9">
        <w:t>“A</w:t>
      </w:r>
      <w:r w:rsidR="00E819FB" w:rsidRPr="00E819FB">
        <w:t>gency needs</w:t>
      </w:r>
      <w:r w:rsidR="00B02FB9">
        <w:t>”</w:t>
      </w:r>
      <w:r w:rsidR="00E819FB" w:rsidRPr="00E819FB">
        <w:t xml:space="preserve"> include the ability to provide a timely response to an emergency.</w:t>
      </w:r>
    </w:p>
    <w:p w14:paraId="72B41767" w14:textId="77777777" w:rsidR="001C0C56" w:rsidRDefault="00E819FB" w:rsidP="001C0C56">
      <w:pPr>
        <w:pStyle w:val="TableParagraph"/>
        <w:numPr>
          <w:ilvl w:val="0"/>
          <w:numId w:val="11"/>
        </w:numPr>
        <w:ind w:right="322"/>
        <w:rPr>
          <w:color w:val="333333"/>
        </w:rPr>
      </w:pPr>
      <w:commentRangeStart w:id="15"/>
      <w:r w:rsidRPr="006B4D86">
        <w:rPr>
          <w:color w:val="333333"/>
        </w:rPr>
        <w:t xml:space="preserve">“Qualified master contracts” </w:t>
      </w:r>
      <w:commentRangeEnd w:id="15"/>
      <w:r w:rsidR="008570F2">
        <w:rPr>
          <w:rStyle w:val="CommentReference"/>
        </w:rPr>
        <w:commentReference w:id="15"/>
      </w:r>
      <w:r w:rsidRPr="006B4D86">
        <w:rPr>
          <w:color w:val="333333"/>
        </w:rPr>
        <w:t>means:</w:t>
      </w:r>
    </w:p>
    <w:p w14:paraId="01F2BDF6" w14:textId="77777777" w:rsidR="001C0C56" w:rsidRDefault="00E819FB" w:rsidP="001C0C56">
      <w:pPr>
        <w:pStyle w:val="TableParagraph"/>
        <w:numPr>
          <w:ilvl w:val="1"/>
          <w:numId w:val="11"/>
        </w:numPr>
        <w:ind w:right="322"/>
        <w:rPr>
          <w:color w:val="333333"/>
        </w:rPr>
      </w:pPr>
      <w:r w:rsidRPr="001C0C56">
        <w:rPr>
          <w:color w:val="333333"/>
        </w:rPr>
        <w:t>DES Master Contracts.</w:t>
      </w:r>
    </w:p>
    <w:p w14:paraId="586E3D70" w14:textId="77777777" w:rsidR="001C0C56" w:rsidRDefault="00E819FB" w:rsidP="001C0C56">
      <w:pPr>
        <w:pStyle w:val="TableParagraph"/>
        <w:numPr>
          <w:ilvl w:val="1"/>
          <w:numId w:val="11"/>
        </w:numPr>
        <w:ind w:right="322"/>
        <w:rPr>
          <w:color w:val="333333"/>
        </w:rPr>
      </w:pPr>
      <w:r w:rsidRPr="001C0C56">
        <w:rPr>
          <w:color w:val="333333"/>
        </w:rPr>
        <w:t>DES approved cooperative contracts that conform to all applicable Washington State procurement laws, rules, policies and trade agreements. DES will maintain a list of cooperative contracts that meet state requirements.</w:t>
      </w:r>
    </w:p>
    <w:p w14:paraId="1837DEF0" w14:textId="51CE668B" w:rsidR="00B02FB9" w:rsidRDefault="0009393A" w:rsidP="00EB3EE7">
      <w:pPr>
        <w:pStyle w:val="TableParagraph"/>
        <w:numPr>
          <w:ilvl w:val="0"/>
          <w:numId w:val="12"/>
        </w:numPr>
        <w:ind w:right="322"/>
      </w:pPr>
      <w:r>
        <w:rPr>
          <w:color w:val="333333"/>
        </w:rPr>
        <w:t xml:space="preserve">When possible, </w:t>
      </w:r>
      <w:commentRangeStart w:id="16"/>
      <w:r w:rsidR="00E819FB" w:rsidRPr="001C0C56">
        <w:rPr>
          <w:color w:val="333333"/>
        </w:rPr>
        <w:t xml:space="preserve">Agencies are also expected to </w:t>
      </w:r>
      <w:r w:rsidR="00B02FB9">
        <w:rPr>
          <w:color w:val="333333"/>
        </w:rPr>
        <w:t xml:space="preserve">use </w:t>
      </w:r>
      <w:r w:rsidR="00E819FB" w:rsidRPr="001C0C56">
        <w:rPr>
          <w:color w:val="333333"/>
        </w:rPr>
        <w:t xml:space="preserve">the OMWBE Directory of Certified Firms </w:t>
      </w:r>
      <w:r w:rsidR="007C46C0" w:rsidRPr="001C0C56">
        <w:rPr>
          <w:color w:val="333333"/>
        </w:rPr>
        <w:t xml:space="preserve">and </w:t>
      </w:r>
      <w:r w:rsidR="00911412">
        <w:rPr>
          <w:color w:val="333333"/>
        </w:rPr>
        <w:t>the Department of Veterans Affairs (</w:t>
      </w:r>
      <w:r w:rsidR="007C46C0" w:rsidRPr="001C0C56">
        <w:rPr>
          <w:color w:val="333333"/>
        </w:rPr>
        <w:t>DVA</w:t>
      </w:r>
      <w:r w:rsidR="00911412">
        <w:rPr>
          <w:color w:val="333333"/>
        </w:rPr>
        <w:t>)</w:t>
      </w:r>
      <w:r w:rsidR="007C46C0" w:rsidRPr="001C0C56">
        <w:rPr>
          <w:color w:val="333333"/>
        </w:rPr>
        <w:t xml:space="preserve"> certified veteran firms </w:t>
      </w:r>
      <w:r w:rsidR="00E819FB" w:rsidRPr="001C0C56">
        <w:rPr>
          <w:color w:val="333333"/>
        </w:rPr>
        <w:t>if a master contract cannot justifiably satisfy agency needs.</w:t>
      </w:r>
      <w:commentRangeEnd w:id="16"/>
      <w:r w:rsidR="008570F2">
        <w:rPr>
          <w:rStyle w:val="CommentReference"/>
        </w:rPr>
        <w:commentReference w:id="16"/>
      </w:r>
    </w:p>
    <w:p w14:paraId="32706139" w14:textId="77777777" w:rsidR="00EB3EE7" w:rsidRDefault="00E819FB" w:rsidP="00EB3EE7">
      <w:pPr>
        <w:pStyle w:val="TableParagraph"/>
        <w:numPr>
          <w:ilvl w:val="0"/>
          <w:numId w:val="12"/>
        </w:numPr>
        <w:ind w:right="322"/>
      </w:pPr>
      <w:r w:rsidRPr="006B4D86">
        <w:t>The duration of the emergency contract must not extend beyond the time needed to resolve the immediate threat.</w:t>
      </w:r>
    </w:p>
    <w:p w14:paraId="1C4E9EDA" w14:textId="77777777" w:rsidR="00E819FB" w:rsidRPr="00EB3EE7" w:rsidRDefault="00E819FB" w:rsidP="00EB3EE7">
      <w:pPr>
        <w:pStyle w:val="TableParagraph"/>
        <w:numPr>
          <w:ilvl w:val="0"/>
          <w:numId w:val="12"/>
        </w:numPr>
        <w:ind w:right="322"/>
      </w:pPr>
      <w:r w:rsidRPr="006B4D86">
        <w:t xml:space="preserve">Emergency </w:t>
      </w:r>
      <w:r>
        <w:t>purchases</w:t>
      </w:r>
      <w:r w:rsidRPr="006B4D86">
        <w:t xml:space="preserve"> are only to be conducted for legitimate and qualified emergencies. Emergency </w:t>
      </w:r>
      <w:r>
        <w:t>purchases</w:t>
      </w:r>
      <w:r w:rsidRPr="006B4D86">
        <w:t xml:space="preserve"> are not a substitute to avoid competition or mitigate for the time needed to competitively procure the goods or services.</w:t>
      </w:r>
    </w:p>
    <w:p w14:paraId="0F30CE31" w14:textId="77777777" w:rsidR="0090756E" w:rsidRDefault="0090756E" w:rsidP="0090756E">
      <w:pPr>
        <w:pStyle w:val="Heading2"/>
        <w:tabs>
          <w:tab w:val="left" w:pos="552"/>
        </w:tabs>
        <w:ind w:firstLine="0"/>
      </w:pPr>
    </w:p>
    <w:p w14:paraId="5E62DBBB" w14:textId="77777777" w:rsidR="00C76D83" w:rsidRPr="00FD631F" w:rsidRDefault="00C76D83" w:rsidP="00FD631F">
      <w:pPr>
        <w:pStyle w:val="Heading2"/>
      </w:pPr>
      <w:commentRangeStart w:id="17"/>
      <w:r w:rsidRPr="00FD631F">
        <w:t>Exemptions</w:t>
      </w:r>
      <w:commentRangeEnd w:id="17"/>
      <w:r w:rsidR="008570F2">
        <w:rPr>
          <w:rStyle w:val="CommentReference"/>
          <w:b w:val="0"/>
          <w:bCs w:val="0"/>
        </w:rPr>
        <w:commentReference w:id="17"/>
      </w:r>
      <w:r w:rsidRPr="00FD631F">
        <w:tab/>
      </w:r>
    </w:p>
    <w:p w14:paraId="11947C0A" w14:textId="77777777" w:rsidR="0031055A" w:rsidRDefault="0086045B" w:rsidP="00C76D83">
      <w:pPr>
        <w:pStyle w:val="BodyText"/>
        <w:ind w:left="551"/>
      </w:pPr>
      <w:r w:rsidRPr="0086045B">
        <w:t xml:space="preserve">Agencies are not required to report to DES an emergency </w:t>
      </w:r>
      <w:r w:rsidR="00F26603">
        <w:t>purchase</w:t>
      </w:r>
      <w:r w:rsidR="00F26603" w:rsidRPr="0086045B">
        <w:t xml:space="preserve"> </w:t>
      </w:r>
      <w:r w:rsidRPr="0086045B">
        <w:t>that qualifies as a “Direct Buy” pro</w:t>
      </w:r>
      <w:r w:rsidR="000C7F12">
        <w:t>curement. See POLICY # DES-125-</w:t>
      </w:r>
      <w:r w:rsidRPr="0086045B">
        <w:t>03.</w:t>
      </w:r>
    </w:p>
    <w:p w14:paraId="08673CB7" w14:textId="77777777" w:rsidR="00FA7933" w:rsidRDefault="00FA7933" w:rsidP="00C76D83">
      <w:pPr>
        <w:pStyle w:val="BodyText"/>
        <w:ind w:left="551"/>
      </w:pPr>
    </w:p>
    <w:p w14:paraId="7B90EAFB" w14:textId="77777777" w:rsidR="00FA7933" w:rsidRPr="00FD631F" w:rsidRDefault="00FA7933" w:rsidP="00FD631F">
      <w:pPr>
        <w:pStyle w:val="Heading2"/>
      </w:pPr>
      <w:commentRangeStart w:id="18"/>
      <w:r w:rsidRPr="00FD631F">
        <w:t>Best Practice</w:t>
      </w:r>
      <w:commentRangeEnd w:id="18"/>
      <w:r w:rsidR="008570F2">
        <w:rPr>
          <w:rStyle w:val="CommentReference"/>
          <w:b w:val="0"/>
          <w:bCs w:val="0"/>
        </w:rPr>
        <w:commentReference w:id="18"/>
      </w:r>
    </w:p>
    <w:p w14:paraId="0193895C" w14:textId="77777777" w:rsidR="00FE3D76" w:rsidRDefault="00FA7933" w:rsidP="00AC03B7">
      <w:pPr>
        <w:pStyle w:val="BodyText"/>
        <w:ind w:left="551"/>
      </w:pPr>
      <w:r>
        <w:t>Agencies are also encouraged to keep a detailed emergency contract file that may include pictures, video, receipts and other related information that may be useful in securing emergency financial aid, filing insurance claims or complying with Federal Emergency Management Agency requirements.</w:t>
      </w:r>
    </w:p>
    <w:bookmarkStart w:id="19" w:name="History"/>
    <w:bookmarkEnd w:id="19"/>
    <w:p w14:paraId="140950BD" w14:textId="77777777" w:rsidR="00B658FE" w:rsidRDefault="00B658FE" w:rsidP="00B658FE">
      <w:pPr>
        <w:pStyle w:val="Heading1"/>
        <w:spacing w:before="0"/>
        <w:ind w:left="0"/>
        <w:contextualSpacing/>
        <w:rPr>
          <w:rFonts w:ascii="Calibri" w:eastAsia="Calibri" w:hAnsi="Calibri" w:cs="Calibri"/>
          <w:sz w:val="22"/>
          <w:szCs w:val="22"/>
        </w:rPr>
      </w:pPr>
      <w:r>
        <w:rPr>
          <w:noProof/>
          <w:lang w:bidi="ar-SA"/>
        </w:rPr>
        <w:lastRenderedPageBreak/>
        <mc:AlternateContent>
          <mc:Choice Requires="wps">
            <w:drawing>
              <wp:inline distT="0" distB="0" distL="0" distR="0" wp14:anchorId="4D876F0E" wp14:editId="5FBC550F">
                <wp:extent cx="6437630" cy="1270"/>
                <wp:effectExtent l="0" t="0" r="20320" b="17780"/>
                <wp:docPr id="5" name="Freeform 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B3F7BDD" id="Freeform 5" o:spid="_x0000_s1026" alt="Title: Border - Description: This is a boarder used to frame the policy." style="width:506.9pt;height:.1pt;visibility:visible;mso-wrap-style:square;mso-left-percent:-10001;mso-top-percent:-10001;mso-position-horizontal:absolute;mso-position-horizontal-relative:char;mso-position-vertical:absolute;mso-position-vertical-relative:line;mso-left-percent:-10001;mso-top-percent:-10001;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" path="m,l10138,e" filled="f" strokeweight=".48pt">
                <v:path arrowok="t" o:connecttype="custom" o:connectlocs="0,0;6437630,0" o:connectangles="0,0"/>
                <w10:anchorlock/>
              </v:shape>
            </w:pict>
          </mc:Fallback>
        </mc:AlternateContent>
      </w:r>
    </w:p>
    <w:p w14:paraId="446B0C9F" w14:textId="77777777" w:rsidR="0031055A" w:rsidRDefault="00DA18E9" w:rsidP="00B658FE">
      <w:pPr>
        <w:pStyle w:val="Heading1"/>
        <w:spacing w:before="0"/>
        <w:ind w:left="0"/>
        <w:contextualSpacing/>
      </w:pPr>
      <w:r>
        <w:rPr>
          <w:color w:val="2C74B5"/>
        </w:rPr>
        <w:t>History</w:t>
      </w:r>
    </w:p>
    <w:p w14:paraId="34C726AF" w14:textId="77777777" w:rsidR="001E6491" w:rsidRDefault="001E6491" w:rsidP="000B422E">
      <w:pPr>
        <w:ind w:left="461"/>
        <w:contextualSpacing/>
        <w:rPr>
          <w:rFonts w:ascii="Calibri Light"/>
          <w:color w:val="2C74B5"/>
          <w:sz w:val="26"/>
        </w:rPr>
      </w:pPr>
      <w:r>
        <w:rPr>
          <w:rFonts w:ascii="Calibri Light"/>
          <w:color w:val="2C74B5"/>
          <w:sz w:val="26"/>
        </w:rPr>
        <w:t>Adopted</w:t>
      </w:r>
    </w:p>
    <w:p w14:paraId="5723EA7A" w14:textId="77777777" w:rsidR="001E6491" w:rsidRDefault="00FF50B9" w:rsidP="000B422E">
      <w:pPr>
        <w:ind w:left="461"/>
        <w:contextualSpacing/>
      </w:pPr>
      <w:r>
        <w:t>TBD</w:t>
      </w:r>
    </w:p>
    <w:p w14:paraId="17E74189" w14:textId="77777777" w:rsidR="000B422E" w:rsidRDefault="000B422E" w:rsidP="000B422E">
      <w:pPr>
        <w:ind w:left="461"/>
        <w:contextualSpacing/>
      </w:pPr>
    </w:p>
    <w:p w14:paraId="1DC9D7DF" w14:textId="77777777" w:rsidR="001E6491" w:rsidRDefault="001E6491" w:rsidP="000B422E">
      <w:pPr>
        <w:ind w:left="460"/>
        <w:contextualSpacing/>
        <w:rPr>
          <w:rFonts w:ascii="Calibri Light"/>
          <w:color w:val="2C74B5"/>
          <w:sz w:val="26"/>
        </w:rPr>
      </w:pPr>
      <w:r>
        <w:rPr>
          <w:rFonts w:ascii="Calibri Light"/>
          <w:color w:val="2C74B5"/>
          <w:sz w:val="26"/>
        </w:rPr>
        <w:t>Replaces</w:t>
      </w:r>
    </w:p>
    <w:p w14:paraId="636B5B34" w14:textId="77777777" w:rsidR="001E6491" w:rsidRDefault="001E6491" w:rsidP="00B658FE">
      <w:pPr>
        <w:pStyle w:val="BodyText"/>
        <w:ind w:firstLine="460"/>
        <w:contextualSpacing/>
      </w:pPr>
      <w:r>
        <w:t>DES-130-00 Emergency Procure</w:t>
      </w:r>
      <w:r w:rsidR="00B658FE">
        <w:t>ments/Purchases (Rev. 01-08-15)</w:t>
      </w:r>
    </w:p>
    <w:sectPr w:rsidR="001E6491" w:rsidSect="001E6491">
      <w:headerReference w:type="default" r:id="rId13"/>
      <w:pgSz w:w="12240" w:h="15840"/>
      <w:pgMar w:top="1400" w:right="1000" w:bottom="1170" w:left="9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D26DF5A" w14:textId="77777777" w:rsidR="00B61A0B" w:rsidRDefault="00B61A0B" w:rsidP="00B61A0B">
      <w:pPr>
        <w:pStyle w:val="CommentText"/>
        <w:numPr>
          <w:ilvl w:val="0"/>
          <w:numId w:val="13"/>
        </w:numPr>
      </w:pPr>
      <w:r>
        <w:rPr>
          <w:rStyle w:val="CommentReference"/>
        </w:rPr>
        <w:annotationRef/>
      </w:r>
      <w:r>
        <w:t xml:space="preserve"> The introduction has been revised to the new policy format.</w:t>
      </w:r>
    </w:p>
  </w:comment>
  <w:comment w:id="4" w:author="Author" w:initials="A">
    <w:p w14:paraId="1EDB4263" w14:textId="78608461" w:rsidR="00066B69" w:rsidRDefault="00066B69" w:rsidP="00066B69">
      <w:pPr>
        <w:pStyle w:val="CommentText"/>
        <w:numPr>
          <w:ilvl w:val="0"/>
          <w:numId w:val="13"/>
        </w:numPr>
      </w:pPr>
      <w:r>
        <w:rPr>
          <w:rStyle w:val="CommentReference"/>
        </w:rPr>
        <w:annotationRef/>
      </w:r>
      <w:r>
        <w:t xml:space="preserve"> </w:t>
      </w:r>
      <w:r w:rsidRPr="00066B69">
        <w:t xml:space="preserve">The </w:t>
      </w:r>
      <w:r w:rsidR="00795808">
        <w:t>“Reason for Policy” section is adapted from the original section</w:t>
      </w:r>
      <w:r>
        <w:t xml:space="preserve"> (1) P</w:t>
      </w:r>
      <w:r w:rsidRPr="00066B69">
        <w:t xml:space="preserve">urpose </w:t>
      </w:r>
      <w:r w:rsidR="00795808">
        <w:t xml:space="preserve">and </w:t>
      </w:r>
      <w:r w:rsidRPr="00066B69">
        <w:t>has been re-written into paragraph form to fit the new policy format.</w:t>
      </w:r>
    </w:p>
  </w:comment>
  <w:comment w:id="6" w:author="Author" w:initials="A">
    <w:p w14:paraId="794BB740" w14:textId="4F42B3A8" w:rsidR="00066B69" w:rsidRPr="005B250D" w:rsidRDefault="00066B69" w:rsidP="005B250D">
      <w:pPr>
        <w:pStyle w:val="ListParagraph"/>
        <w:numPr>
          <w:ilvl w:val="0"/>
          <w:numId w:val="13"/>
        </w:numPr>
        <w:rPr>
          <w:sz w:val="20"/>
          <w:szCs w:val="20"/>
        </w:rPr>
      </w:pPr>
      <w:r>
        <w:rPr>
          <w:rStyle w:val="CommentReference"/>
        </w:rPr>
        <w:annotationRef/>
      </w:r>
      <w:r>
        <w:t xml:space="preserve"> The “Qualifying Criteria” section is adapted from the original section, (2) Enabling Legislation: 39.26.130, which defines an emergency.</w:t>
      </w:r>
      <w:r w:rsidR="005B250D">
        <w:t xml:space="preserve"> </w:t>
      </w:r>
      <w:r w:rsidR="005B250D" w:rsidRPr="005B250D">
        <w:rPr>
          <w:sz w:val="20"/>
          <w:szCs w:val="20"/>
        </w:rPr>
        <w:t xml:space="preserve">No changes have been made to this </w:t>
      </w:r>
      <w:r w:rsidR="005B250D">
        <w:rPr>
          <w:sz w:val="20"/>
          <w:szCs w:val="20"/>
        </w:rPr>
        <w:t>language</w:t>
      </w:r>
      <w:r w:rsidR="005B250D" w:rsidRPr="005B250D">
        <w:rPr>
          <w:sz w:val="20"/>
          <w:szCs w:val="20"/>
        </w:rPr>
        <w:t>.</w:t>
      </w:r>
    </w:p>
  </w:comment>
  <w:comment w:id="8" w:author="Author" w:initials="A">
    <w:p w14:paraId="5E6E4A8C" w14:textId="4460C3C2" w:rsidR="00066B69" w:rsidRPr="005B250D" w:rsidRDefault="00066B69" w:rsidP="005B250D">
      <w:pPr>
        <w:pStyle w:val="ListParagraph"/>
        <w:numPr>
          <w:ilvl w:val="0"/>
          <w:numId w:val="13"/>
        </w:numPr>
        <w:rPr>
          <w:sz w:val="20"/>
          <w:szCs w:val="20"/>
        </w:rPr>
      </w:pPr>
      <w:r>
        <w:rPr>
          <w:rStyle w:val="CommentReference"/>
        </w:rPr>
        <w:annotationRef/>
      </w:r>
      <w:r>
        <w:t xml:space="preserve"> </w:t>
      </w:r>
      <w:r w:rsidR="00795808">
        <w:t>The</w:t>
      </w:r>
      <w:r>
        <w:t xml:space="preserve"> “Reporting Requirements” section is adapted from the original sections (2) Enabling Legislation 39.26.130 and (3) Emergency Procurement Reporting Requirements.</w:t>
      </w:r>
      <w:r w:rsidR="005B250D">
        <w:t xml:space="preserve"> </w:t>
      </w:r>
      <w:r w:rsidR="005B250D" w:rsidRPr="005B250D">
        <w:rPr>
          <w:sz w:val="20"/>
          <w:szCs w:val="20"/>
        </w:rPr>
        <w:t xml:space="preserve">No </w:t>
      </w:r>
      <w:r w:rsidR="005B250D">
        <w:rPr>
          <w:sz w:val="20"/>
          <w:szCs w:val="20"/>
        </w:rPr>
        <w:t xml:space="preserve">other </w:t>
      </w:r>
      <w:r w:rsidR="005B250D" w:rsidRPr="005B250D">
        <w:rPr>
          <w:sz w:val="20"/>
          <w:szCs w:val="20"/>
        </w:rPr>
        <w:t>changes have b</w:t>
      </w:r>
      <w:r w:rsidR="005B250D">
        <w:rPr>
          <w:sz w:val="20"/>
          <w:szCs w:val="20"/>
        </w:rPr>
        <w:t>een made to these</w:t>
      </w:r>
      <w:r w:rsidR="005B250D" w:rsidRPr="005B250D">
        <w:rPr>
          <w:sz w:val="20"/>
          <w:szCs w:val="20"/>
        </w:rPr>
        <w:t xml:space="preserve"> section</w:t>
      </w:r>
      <w:r w:rsidR="005B250D">
        <w:rPr>
          <w:sz w:val="20"/>
          <w:szCs w:val="20"/>
        </w:rPr>
        <w:t>s</w:t>
      </w:r>
      <w:r w:rsidR="005B250D" w:rsidRPr="005B250D">
        <w:rPr>
          <w:sz w:val="20"/>
          <w:szCs w:val="20"/>
        </w:rPr>
        <w:t>.</w:t>
      </w:r>
    </w:p>
  </w:comment>
  <w:comment w:id="10" w:author="Author" w:initials="A">
    <w:p w14:paraId="1E2D4DC8" w14:textId="4EACD6B7" w:rsidR="008570F2" w:rsidRDefault="008570F2" w:rsidP="008570F2">
      <w:pPr>
        <w:pStyle w:val="CommentText"/>
        <w:numPr>
          <w:ilvl w:val="0"/>
          <w:numId w:val="13"/>
        </w:numPr>
      </w:pPr>
      <w:r>
        <w:rPr>
          <w:rStyle w:val="CommentReference"/>
        </w:rPr>
        <w:annotationRef/>
      </w:r>
      <w:r>
        <w:t xml:space="preserve"> </w:t>
      </w:r>
      <w:r w:rsidR="00795808">
        <w:t>The “Transparency”</w:t>
      </w:r>
      <w:r>
        <w:t xml:space="preserve"> section is adapted from the original section (5) Transparency Requirements.</w:t>
      </w:r>
      <w:r w:rsidR="005B250D">
        <w:t xml:space="preserve"> One change has been made (see comment 6 below).</w:t>
      </w:r>
    </w:p>
    <w:p w14:paraId="65AD1936" w14:textId="77777777" w:rsidR="008570F2" w:rsidRDefault="008570F2" w:rsidP="008570F2">
      <w:pPr>
        <w:pStyle w:val="CommentText"/>
      </w:pPr>
    </w:p>
    <w:p w14:paraId="72BAC381" w14:textId="77777777" w:rsidR="008570F2" w:rsidRDefault="008570F2" w:rsidP="008570F2">
      <w:pPr>
        <w:pStyle w:val="CommentText"/>
        <w:numPr>
          <w:ilvl w:val="0"/>
          <w:numId w:val="13"/>
        </w:numPr>
      </w:pPr>
      <w:r>
        <w:t xml:space="preserve"> The following language has been removed from this section:</w:t>
      </w:r>
    </w:p>
    <w:p w14:paraId="54D83E14" w14:textId="2E5EB430" w:rsidR="008570F2" w:rsidRDefault="008570F2" w:rsidP="008570F2">
      <w:pPr>
        <w:pStyle w:val="CommentText"/>
        <w:ind w:left="1440"/>
      </w:pPr>
      <w:r>
        <w:t>“DES will be working on developing a state emergency contracts web page where all agencies will be able to post emergency contract information. This will take the place of agencies posting the information on their separate websites.”</w:t>
      </w:r>
    </w:p>
    <w:p w14:paraId="02335F05" w14:textId="77777777" w:rsidR="008570F2" w:rsidRDefault="008570F2" w:rsidP="008570F2">
      <w:pPr>
        <w:pStyle w:val="CommentText"/>
        <w:ind w:left="1440"/>
      </w:pPr>
    </w:p>
    <w:p w14:paraId="316EC520" w14:textId="6E1F8D97" w:rsidR="008570F2" w:rsidRDefault="008570F2" w:rsidP="008570F2">
      <w:pPr>
        <w:pStyle w:val="CommentText"/>
        <w:ind w:left="720"/>
      </w:pPr>
      <w:r>
        <w:t>This has not been done and there are no current plans to create this platform.</w:t>
      </w:r>
    </w:p>
  </w:comment>
  <w:comment w:id="12" w:author="Author" w:initials="A">
    <w:p w14:paraId="0BCFEE78" w14:textId="55A5C26B" w:rsidR="008570F2" w:rsidRDefault="008570F2" w:rsidP="008570F2">
      <w:pPr>
        <w:pStyle w:val="CommentText"/>
        <w:numPr>
          <w:ilvl w:val="0"/>
          <w:numId w:val="13"/>
        </w:numPr>
      </w:pPr>
      <w:r>
        <w:rPr>
          <w:rStyle w:val="CommentReference"/>
        </w:rPr>
        <w:annotationRef/>
      </w:r>
      <w:r>
        <w:t xml:space="preserve"> T</w:t>
      </w:r>
      <w:r w:rsidR="00795808">
        <w:t>he “Compliance”</w:t>
      </w:r>
      <w:r>
        <w:t xml:space="preserve"> section is adapted from the original section (6) Compliance.</w:t>
      </w:r>
      <w:r w:rsidR="005B250D">
        <w:t xml:space="preserve"> One change has been made for clarity (see comment 8 below).</w:t>
      </w:r>
    </w:p>
    <w:p w14:paraId="3EBA14FC" w14:textId="03C3DBB2" w:rsidR="008570F2" w:rsidRDefault="008570F2">
      <w:pPr>
        <w:pStyle w:val="CommentText"/>
      </w:pPr>
    </w:p>
  </w:comment>
  <w:comment w:id="13" w:author="Author" w:initials="A">
    <w:p w14:paraId="74F08904" w14:textId="1EADDECD" w:rsidR="008570F2" w:rsidRDefault="008570F2" w:rsidP="008570F2">
      <w:pPr>
        <w:pStyle w:val="CommentText"/>
        <w:numPr>
          <w:ilvl w:val="0"/>
          <w:numId w:val="13"/>
        </w:numPr>
      </w:pPr>
      <w:r>
        <w:rPr>
          <w:rStyle w:val="CommentReference"/>
        </w:rPr>
        <w:annotationRef/>
      </w:r>
      <w:r>
        <w:t xml:space="preserve"> The previous language, “</w:t>
      </w:r>
      <w:r w:rsidRPr="008570F2">
        <w:rPr>
          <w:b/>
        </w:rPr>
        <w:t>Compliance</w:t>
      </w:r>
      <w:r>
        <w:t xml:space="preserve"> may influence an agency's delegated authority” has been changed to </w:t>
      </w:r>
      <w:r>
        <w:rPr>
          <w:b/>
        </w:rPr>
        <w:t>lack of compliance</w:t>
      </w:r>
      <w:r>
        <w:t xml:space="preserve"> for clarity.</w:t>
      </w:r>
    </w:p>
  </w:comment>
  <w:comment w:id="14" w:author="Author" w:initials="A">
    <w:p w14:paraId="4C239500" w14:textId="134A6D1F" w:rsidR="008570F2" w:rsidRDefault="008570F2" w:rsidP="005B250D">
      <w:pPr>
        <w:pStyle w:val="CommentText"/>
        <w:numPr>
          <w:ilvl w:val="0"/>
          <w:numId w:val="13"/>
        </w:numPr>
      </w:pPr>
      <w:r>
        <w:rPr>
          <w:rStyle w:val="CommentReference"/>
        </w:rPr>
        <w:annotationRef/>
      </w:r>
      <w:r>
        <w:t xml:space="preserve"> </w:t>
      </w:r>
      <w:r w:rsidR="00795808">
        <w:t>The “Additional Requirements”</w:t>
      </w:r>
      <w:r w:rsidRPr="008570F2">
        <w:t xml:space="preserve"> section is ad</w:t>
      </w:r>
      <w:r>
        <w:t>apted from the original section</w:t>
      </w:r>
      <w:r w:rsidRPr="008570F2">
        <w:t xml:space="preserve"> (</w:t>
      </w:r>
      <w:r>
        <w:t>4) Additional Requirements</w:t>
      </w:r>
      <w:r w:rsidRPr="008570F2">
        <w:t>.</w:t>
      </w:r>
      <w:r w:rsidR="005B250D">
        <w:t xml:space="preserve"> Two changes have been made to this section (see comments 10-11 below).</w:t>
      </w:r>
    </w:p>
  </w:comment>
  <w:comment w:id="15" w:author="Author" w:initials="A">
    <w:p w14:paraId="0F49110D" w14:textId="3D835A2D" w:rsidR="008570F2" w:rsidRDefault="008570F2" w:rsidP="008570F2">
      <w:pPr>
        <w:pStyle w:val="CommentText"/>
        <w:numPr>
          <w:ilvl w:val="0"/>
          <w:numId w:val="13"/>
        </w:numPr>
      </w:pPr>
      <w:r>
        <w:rPr>
          <w:rStyle w:val="CommentReference"/>
        </w:rPr>
        <w:annotationRef/>
      </w:r>
      <w:r>
        <w:t xml:space="preserve"> The original section</w:t>
      </w:r>
      <w:r w:rsidR="00795808">
        <w:t>,</w:t>
      </w:r>
      <w:r>
        <w:t xml:space="preserve"> (8) Definitions</w:t>
      </w:r>
      <w:r w:rsidR="00795808">
        <w:t>,</w:t>
      </w:r>
      <w:r>
        <w:t xml:space="preserve"> has been removed. Instead, definitions will be placed in the policy where appropriate, for ease of reading.</w:t>
      </w:r>
    </w:p>
  </w:comment>
  <w:comment w:id="16" w:author="Author" w:initials="A">
    <w:p w14:paraId="2F5D1513" w14:textId="3241F771" w:rsidR="008570F2" w:rsidRDefault="008570F2" w:rsidP="008570F2">
      <w:pPr>
        <w:pStyle w:val="CommentText"/>
        <w:numPr>
          <w:ilvl w:val="0"/>
          <w:numId w:val="13"/>
        </w:numPr>
      </w:pPr>
      <w:r>
        <w:rPr>
          <w:rStyle w:val="CommentReference"/>
        </w:rPr>
        <w:annotationRef/>
      </w:r>
      <w:r>
        <w:t xml:space="preserve"> This is a new expectat</w:t>
      </w:r>
      <w:r w:rsidR="0009393A">
        <w:t>ion and reminder to agencies. This change</w:t>
      </w:r>
      <w:r>
        <w:t xml:space="preserve"> is based on the state’s goals of increasing supplier diversity and the use of OMWBE-certified and DVA-certified firms.</w:t>
      </w:r>
    </w:p>
  </w:comment>
  <w:comment w:id="17" w:author="Author" w:initials="A">
    <w:p w14:paraId="1F9FB048" w14:textId="767AD2DD" w:rsidR="008570F2" w:rsidRPr="005B250D" w:rsidRDefault="008570F2" w:rsidP="005B250D">
      <w:pPr>
        <w:pStyle w:val="ListParagraph"/>
        <w:numPr>
          <w:ilvl w:val="0"/>
          <w:numId w:val="13"/>
        </w:numPr>
        <w:rPr>
          <w:sz w:val="20"/>
          <w:szCs w:val="20"/>
        </w:rPr>
      </w:pPr>
      <w:r>
        <w:rPr>
          <w:rStyle w:val="CommentReference"/>
        </w:rPr>
        <w:annotationRef/>
      </w:r>
      <w:r>
        <w:t xml:space="preserve"> </w:t>
      </w:r>
      <w:r w:rsidR="00795808">
        <w:t>The “Exemptions”</w:t>
      </w:r>
      <w:r w:rsidRPr="008570F2">
        <w:t xml:space="preserve"> section is ad</w:t>
      </w:r>
      <w:r>
        <w:t>apted from the original section</w:t>
      </w:r>
      <w:r w:rsidRPr="008570F2">
        <w:t xml:space="preserve"> (</w:t>
      </w:r>
      <w:r>
        <w:t>7) Exemptions</w:t>
      </w:r>
      <w:r w:rsidRPr="008570F2">
        <w:t>.</w:t>
      </w:r>
      <w:r w:rsidR="005B250D">
        <w:t xml:space="preserve"> </w:t>
      </w:r>
      <w:r w:rsidR="005B250D" w:rsidRPr="005B250D">
        <w:rPr>
          <w:sz w:val="20"/>
          <w:szCs w:val="20"/>
        </w:rPr>
        <w:t>No changes have been made to this section.</w:t>
      </w:r>
    </w:p>
  </w:comment>
  <w:comment w:id="18" w:author="Author" w:initials="A">
    <w:p w14:paraId="215652E6" w14:textId="5145557E" w:rsidR="008570F2" w:rsidRDefault="008570F2" w:rsidP="008570F2">
      <w:pPr>
        <w:pStyle w:val="CommentText"/>
        <w:numPr>
          <w:ilvl w:val="0"/>
          <w:numId w:val="13"/>
        </w:numPr>
      </w:pPr>
      <w:r>
        <w:rPr>
          <w:rStyle w:val="CommentReference"/>
        </w:rPr>
        <w:annotationRef/>
      </w:r>
      <w:r>
        <w:t xml:space="preserve"> </w:t>
      </w:r>
      <w:r w:rsidR="00795808">
        <w:t>The “Best Practice”</w:t>
      </w:r>
      <w:r w:rsidRPr="008570F2">
        <w:t xml:space="preserve"> section is ad</w:t>
      </w:r>
      <w:r>
        <w:t>apted from the original section</w:t>
      </w:r>
      <w:r w:rsidRPr="008570F2">
        <w:t xml:space="preserve"> (</w:t>
      </w:r>
      <w:r>
        <w:t>9) Best Practice</w:t>
      </w:r>
      <w:r w:rsidRPr="008570F2">
        <w:t>.</w:t>
      </w:r>
      <w:r w:rsidR="005B250D">
        <w:t xml:space="preserve"> No changes have been made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6DF5A" w15:done="0"/>
  <w15:commentEx w15:paraId="1EDB4263" w15:done="0"/>
  <w15:commentEx w15:paraId="794BB740" w15:done="0"/>
  <w15:commentEx w15:paraId="5E6E4A8C" w15:done="0"/>
  <w15:commentEx w15:paraId="316EC520" w15:done="0"/>
  <w15:commentEx w15:paraId="3EBA14FC" w15:done="0"/>
  <w15:commentEx w15:paraId="74F08904" w15:done="0"/>
  <w15:commentEx w15:paraId="4C239500" w15:done="0"/>
  <w15:commentEx w15:paraId="0F49110D" w15:done="0"/>
  <w15:commentEx w15:paraId="2F5D1513" w15:done="0"/>
  <w15:commentEx w15:paraId="1F9FB048" w15:done="0"/>
  <w15:commentEx w15:paraId="215652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D9566" w14:textId="77777777" w:rsidR="008B3580" w:rsidRDefault="008B3580" w:rsidP="004779B0">
      <w:r>
        <w:separator/>
      </w:r>
    </w:p>
  </w:endnote>
  <w:endnote w:type="continuationSeparator" w:id="0">
    <w:p w14:paraId="6DC61650" w14:textId="77777777" w:rsidR="008B3580" w:rsidRDefault="008B3580" w:rsidP="0047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B6DE5" w14:textId="77777777" w:rsidR="008B3580" w:rsidRDefault="008B3580" w:rsidP="004779B0">
      <w:r>
        <w:separator/>
      </w:r>
    </w:p>
  </w:footnote>
  <w:footnote w:type="continuationSeparator" w:id="0">
    <w:p w14:paraId="467E8964" w14:textId="77777777" w:rsidR="008B3580" w:rsidRDefault="008B3580" w:rsidP="0047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FC80" w14:textId="77777777" w:rsidR="004779B0" w:rsidRDefault="008B3580">
    <w:pPr>
      <w:pStyle w:val="Header"/>
    </w:pPr>
    <w:sdt>
      <w:sdtPr>
        <w:id w:val="-1772388939"/>
        <w:docPartObj>
          <w:docPartGallery w:val="Watermarks"/>
          <w:docPartUnique/>
        </w:docPartObj>
      </w:sdtPr>
      <w:sdtEndPr/>
      <w:sdtContent>
        <w:r>
          <w:rPr>
            <w:noProof/>
          </w:rPr>
          <w:pict w14:anchorId="7FC8E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79B0">
      <w:rPr>
        <w:rFonts w:ascii="Times New Roman"/>
        <w:noProof/>
        <w:sz w:val="20"/>
        <w:lang w:bidi="ar-SA"/>
      </w:rPr>
      <w:drawing>
        <wp:inline distT="0" distB="0" distL="0" distR="0" wp14:anchorId="593E495B" wp14:editId="45911814">
          <wp:extent cx="2162708" cy="365759"/>
          <wp:effectExtent l="0" t="0" r="0" b="0"/>
          <wp:docPr id="1" name="image1.jpeg" descr="Department of Enterprise Services orange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708" cy="36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9FA"/>
    <w:multiLevelType w:val="hybridMultilevel"/>
    <w:tmpl w:val="839695CE"/>
    <w:lvl w:ilvl="0" w:tplc="978694CA">
      <w:start w:val="1"/>
      <w:numFmt w:val="decimal"/>
      <w:lvlText w:val="%1."/>
      <w:lvlJc w:val="left"/>
      <w:pPr>
        <w:ind w:left="551" w:hanging="361"/>
      </w:pPr>
      <w:rPr>
        <w:rFonts w:hint="default"/>
        <w:b w:val="0"/>
        <w:bCs/>
        <w:w w:val="100"/>
        <w:lang w:val="en-US" w:eastAsia="en-US" w:bidi="en-US"/>
      </w:rPr>
    </w:lvl>
    <w:lvl w:ilvl="1" w:tplc="04090019">
      <w:start w:val="1"/>
      <w:numFmt w:val="lowerLetter"/>
      <w:lvlText w:val="%2."/>
      <w:lvlJc w:val="left"/>
      <w:pPr>
        <w:ind w:left="1091" w:hanging="358"/>
      </w:pPr>
      <w:rPr>
        <w:rFonts w:hint="default"/>
        <w:w w:val="100"/>
        <w:sz w:val="22"/>
        <w:szCs w:val="22"/>
        <w:lang w:val="en-US" w:eastAsia="en-US" w:bidi="en-US"/>
      </w:rPr>
    </w:lvl>
    <w:lvl w:ilvl="2" w:tplc="0409001B">
      <w:start w:val="1"/>
      <w:numFmt w:val="lowerRoman"/>
      <w:lvlText w:val="%3."/>
      <w:lvlJc w:val="right"/>
      <w:pPr>
        <w:ind w:left="2117" w:hanging="358"/>
      </w:pPr>
      <w:rPr>
        <w:rFonts w:hint="default"/>
        <w:lang w:val="en-US" w:eastAsia="en-US" w:bidi="en-US"/>
      </w:rPr>
    </w:lvl>
    <w:lvl w:ilvl="3" w:tplc="99365552">
      <w:numFmt w:val="bullet"/>
      <w:lvlText w:val="•"/>
      <w:lvlJc w:val="left"/>
      <w:pPr>
        <w:ind w:left="3135" w:hanging="358"/>
      </w:pPr>
      <w:rPr>
        <w:rFonts w:hint="default"/>
        <w:lang w:val="en-US" w:eastAsia="en-US" w:bidi="en-US"/>
      </w:rPr>
    </w:lvl>
    <w:lvl w:ilvl="4" w:tplc="9FB8F186">
      <w:numFmt w:val="bullet"/>
      <w:lvlText w:val="•"/>
      <w:lvlJc w:val="left"/>
      <w:pPr>
        <w:ind w:left="4153" w:hanging="358"/>
      </w:pPr>
      <w:rPr>
        <w:rFonts w:hint="default"/>
        <w:lang w:val="en-US" w:eastAsia="en-US" w:bidi="en-US"/>
      </w:rPr>
    </w:lvl>
    <w:lvl w:ilvl="5" w:tplc="378EA434">
      <w:numFmt w:val="bullet"/>
      <w:lvlText w:val="•"/>
      <w:lvlJc w:val="left"/>
      <w:pPr>
        <w:ind w:left="5171" w:hanging="358"/>
      </w:pPr>
      <w:rPr>
        <w:rFonts w:hint="default"/>
        <w:lang w:val="en-US" w:eastAsia="en-US" w:bidi="en-US"/>
      </w:rPr>
    </w:lvl>
    <w:lvl w:ilvl="6" w:tplc="D10C6012">
      <w:numFmt w:val="bullet"/>
      <w:lvlText w:val="•"/>
      <w:lvlJc w:val="left"/>
      <w:pPr>
        <w:ind w:left="6188" w:hanging="358"/>
      </w:pPr>
      <w:rPr>
        <w:rFonts w:hint="default"/>
        <w:lang w:val="en-US" w:eastAsia="en-US" w:bidi="en-US"/>
      </w:rPr>
    </w:lvl>
    <w:lvl w:ilvl="7" w:tplc="13B8BD8E">
      <w:numFmt w:val="bullet"/>
      <w:lvlText w:val="•"/>
      <w:lvlJc w:val="left"/>
      <w:pPr>
        <w:ind w:left="7206" w:hanging="358"/>
      </w:pPr>
      <w:rPr>
        <w:rFonts w:hint="default"/>
        <w:lang w:val="en-US" w:eastAsia="en-US" w:bidi="en-US"/>
      </w:rPr>
    </w:lvl>
    <w:lvl w:ilvl="8" w:tplc="692C3AB0">
      <w:numFmt w:val="bullet"/>
      <w:lvlText w:val="•"/>
      <w:lvlJc w:val="left"/>
      <w:pPr>
        <w:ind w:left="8224" w:hanging="358"/>
      </w:pPr>
      <w:rPr>
        <w:rFonts w:hint="default"/>
        <w:lang w:val="en-US" w:eastAsia="en-US" w:bidi="en-US"/>
      </w:rPr>
    </w:lvl>
  </w:abstractNum>
  <w:abstractNum w:abstractNumId="1" w15:restartNumberingAfterBreak="0">
    <w:nsid w:val="0C553D66"/>
    <w:multiLevelType w:val="hybridMultilevel"/>
    <w:tmpl w:val="F21EF48A"/>
    <w:lvl w:ilvl="0" w:tplc="978694CA">
      <w:start w:val="1"/>
      <w:numFmt w:val="decimal"/>
      <w:lvlText w:val="%1."/>
      <w:lvlJc w:val="left"/>
      <w:pPr>
        <w:ind w:left="551" w:hanging="361"/>
      </w:pPr>
      <w:rPr>
        <w:rFonts w:hint="default"/>
        <w:b w:val="0"/>
        <w:bCs/>
        <w:w w:val="100"/>
        <w:lang w:val="en-US" w:eastAsia="en-US" w:bidi="en-US"/>
      </w:rPr>
    </w:lvl>
    <w:lvl w:ilvl="1" w:tplc="F8A2EE16">
      <w:start w:val="1"/>
      <w:numFmt w:val="lowerLetter"/>
      <w:lvlText w:val="%2."/>
      <w:lvlJc w:val="left"/>
      <w:pPr>
        <w:ind w:left="1091" w:hanging="358"/>
      </w:pPr>
      <w:rPr>
        <w:rFonts w:hint="default"/>
        <w:b w:val="0"/>
        <w:color w:val="auto"/>
        <w:w w:val="100"/>
        <w:sz w:val="22"/>
        <w:szCs w:val="22"/>
        <w:lang w:val="en-US" w:eastAsia="en-US" w:bidi="en-US"/>
      </w:rPr>
    </w:lvl>
    <w:lvl w:ilvl="2" w:tplc="0409001B">
      <w:start w:val="1"/>
      <w:numFmt w:val="lowerRoman"/>
      <w:lvlText w:val="%3."/>
      <w:lvlJc w:val="right"/>
      <w:pPr>
        <w:ind w:left="2117" w:hanging="358"/>
      </w:pPr>
      <w:rPr>
        <w:rFonts w:hint="default"/>
        <w:lang w:val="en-US" w:eastAsia="en-US" w:bidi="en-US"/>
      </w:rPr>
    </w:lvl>
    <w:lvl w:ilvl="3" w:tplc="99365552">
      <w:numFmt w:val="bullet"/>
      <w:lvlText w:val="•"/>
      <w:lvlJc w:val="left"/>
      <w:pPr>
        <w:ind w:left="3135" w:hanging="358"/>
      </w:pPr>
      <w:rPr>
        <w:rFonts w:hint="default"/>
        <w:lang w:val="en-US" w:eastAsia="en-US" w:bidi="en-US"/>
      </w:rPr>
    </w:lvl>
    <w:lvl w:ilvl="4" w:tplc="9FB8F186">
      <w:numFmt w:val="bullet"/>
      <w:lvlText w:val="•"/>
      <w:lvlJc w:val="left"/>
      <w:pPr>
        <w:ind w:left="4153" w:hanging="358"/>
      </w:pPr>
      <w:rPr>
        <w:rFonts w:hint="default"/>
        <w:lang w:val="en-US" w:eastAsia="en-US" w:bidi="en-US"/>
      </w:rPr>
    </w:lvl>
    <w:lvl w:ilvl="5" w:tplc="378EA434">
      <w:numFmt w:val="bullet"/>
      <w:lvlText w:val="•"/>
      <w:lvlJc w:val="left"/>
      <w:pPr>
        <w:ind w:left="5171" w:hanging="358"/>
      </w:pPr>
      <w:rPr>
        <w:rFonts w:hint="default"/>
        <w:lang w:val="en-US" w:eastAsia="en-US" w:bidi="en-US"/>
      </w:rPr>
    </w:lvl>
    <w:lvl w:ilvl="6" w:tplc="D10C6012">
      <w:numFmt w:val="bullet"/>
      <w:lvlText w:val="•"/>
      <w:lvlJc w:val="left"/>
      <w:pPr>
        <w:ind w:left="6188" w:hanging="358"/>
      </w:pPr>
      <w:rPr>
        <w:rFonts w:hint="default"/>
        <w:lang w:val="en-US" w:eastAsia="en-US" w:bidi="en-US"/>
      </w:rPr>
    </w:lvl>
    <w:lvl w:ilvl="7" w:tplc="13B8BD8E">
      <w:numFmt w:val="bullet"/>
      <w:lvlText w:val="•"/>
      <w:lvlJc w:val="left"/>
      <w:pPr>
        <w:ind w:left="7206" w:hanging="358"/>
      </w:pPr>
      <w:rPr>
        <w:rFonts w:hint="default"/>
        <w:lang w:val="en-US" w:eastAsia="en-US" w:bidi="en-US"/>
      </w:rPr>
    </w:lvl>
    <w:lvl w:ilvl="8" w:tplc="692C3AB0">
      <w:numFmt w:val="bullet"/>
      <w:lvlText w:val="•"/>
      <w:lvlJc w:val="left"/>
      <w:pPr>
        <w:ind w:left="8224" w:hanging="358"/>
      </w:pPr>
      <w:rPr>
        <w:rFonts w:hint="default"/>
        <w:lang w:val="en-US" w:eastAsia="en-US" w:bidi="en-US"/>
      </w:rPr>
    </w:lvl>
  </w:abstractNum>
  <w:abstractNum w:abstractNumId="2" w15:restartNumberingAfterBreak="0">
    <w:nsid w:val="127E11B9"/>
    <w:multiLevelType w:val="hybridMultilevel"/>
    <w:tmpl w:val="5F50F140"/>
    <w:lvl w:ilvl="0" w:tplc="611E1C3A">
      <w:start w:val="1"/>
      <w:numFmt w:val="upp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 w15:restartNumberingAfterBreak="0">
    <w:nsid w:val="183613E5"/>
    <w:multiLevelType w:val="hybridMultilevel"/>
    <w:tmpl w:val="BD9695C0"/>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B93705"/>
    <w:multiLevelType w:val="hybridMultilevel"/>
    <w:tmpl w:val="643269AE"/>
    <w:lvl w:ilvl="0" w:tplc="910027E8">
      <w:start w:val="1"/>
      <w:numFmt w:val="decimal"/>
      <w:lvlText w:val="%1)"/>
      <w:lvlJc w:val="left"/>
      <w:pPr>
        <w:ind w:left="859" w:hanging="308"/>
      </w:pPr>
      <w:rPr>
        <w:rFonts w:ascii="Calibri" w:eastAsia="Calibri" w:hAnsi="Calibri" w:cs="Calibri"/>
        <w:color w:val="333333"/>
        <w:spacing w:val="-13"/>
        <w:w w:val="100"/>
        <w:sz w:val="22"/>
        <w:szCs w:val="24"/>
        <w:lang w:val="en-US" w:eastAsia="en-US" w:bidi="en-US"/>
      </w:rPr>
    </w:lvl>
    <w:lvl w:ilvl="1" w:tplc="E5F22D82">
      <w:numFmt w:val="bullet"/>
      <w:lvlText w:val="•"/>
      <w:lvlJc w:val="left"/>
      <w:pPr>
        <w:ind w:left="1534" w:hanging="308"/>
      </w:pPr>
      <w:rPr>
        <w:rFonts w:hint="default"/>
        <w:lang w:val="en-US" w:eastAsia="en-US" w:bidi="en-US"/>
      </w:rPr>
    </w:lvl>
    <w:lvl w:ilvl="2" w:tplc="5218EB2E">
      <w:numFmt w:val="bullet"/>
      <w:lvlText w:val="•"/>
      <w:lvlJc w:val="left"/>
      <w:pPr>
        <w:ind w:left="2215" w:hanging="308"/>
      </w:pPr>
      <w:rPr>
        <w:rFonts w:hint="default"/>
        <w:lang w:val="en-US" w:eastAsia="en-US" w:bidi="en-US"/>
      </w:rPr>
    </w:lvl>
    <w:lvl w:ilvl="3" w:tplc="DB04B398">
      <w:numFmt w:val="bullet"/>
      <w:lvlText w:val="•"/>
      <w:lvlJc w:val="left"/>
      <w:pPr>
        <w:ind w:left="2896" w:hanging="308"/>
      </w:pPr>
      <w:rPr>
        <w:rFonts w:hint="default"/>
        <w:lang w:val="en-US" w:eastAsia="en-US" w:bidi="en-US"/>
      </w:rPr>
    </w:lvl>
    <w:lvl w:ilvl="4" w:tplc="59F6B376">
      <w:numFmt w:val="bullet"/>
      <w:lvlText w:val="•"/>
      <w:lvlJc w:val="left"/>
      <w:pPr>
        <w:ind w:left="3577" w:hanging="308"/>
      </w:pPr>
      <w:rPr>
        <w:rFonts w:hint="default"/>
        <w:lang w:val="en-US" w:eastAsia="en-US" w:bidi="en-US"/>
      </w:rPr>
    </w:lvl>
    <w:lvl w:ilvl="5" w:tplc="2A8206A8">
      <w:numFmt w:val="bullet"/>
      <w:lvlText w:val="•"/>
      <w:lvlJc w:val="left"/>
      <w:pPr>
        <w:ind w:left="4258" w:hanging="308"/>
      </w:pPr>
      <w:rPr>
        <w:rFonts w:hint="default"/>
        <w:lang w:val="en-US" w:eastAsia="en-US" w:bidi="en-US"/>
      </w:rPr>
    </w:lvl>
    <w:lvl w:ilvl="6" w:tplc="BE0C5E00">
      <w:numFmt w:val="bullet"/>
      <w:lvlText w:val="•"/>
      <w:lvlJc w:val="left"/>
      <w:pPr>
        <w:ind w:left="4938" w:hanging="308"/>
      </w:pPr>
      <w:rPr>
        <w:rFonts w:hint="default"/>
        <w:lang w:val="en-US" w:eastAsia="en-US" w:bidi="en-US"/>
      </w:rPr>
    </w:lvl>
    <w:lvl w:ilvl="7" w:tplc="9126DEAC">
      <w:numFmt w:val="bullet"/>
      <w:lvlText w:val="•"/>
      <w:lvlJc w:val="left"/>
      <w:pPr>
        <w:ind w:left="5619" w:hanging="308"/>
      </w:pPr>
      <w:rPr>
        <w:rFonts w:hint="default"/>
        <w:lang w:val="en-US" w:eastAsia="en-US" w:bidi="en-US"/>
      </w:rPr>
    </w:lvl>
    <w:lvl w:ilvl="8" w:tplc="1B0CE8DE">
      <w:numFmt w:val="bullet"/>
      <w:lvlText w:val="•"/>
      <w:lvlJc w:val="left"/>
      <w:pPr>
        <w:ind w:left="6300" w:hanging="308"/>
      </w:pPr>
      <w:rPr>
        <w:rFonts w:hint="default"/>
        <w:lang w:val="en-US" w:eastAsia="en-US" w:bidi="en-US"/>
      </w:rPr>
    </w:lvl>
  </w:abstractNum>
  <w:abstractNum w:abstractNumId="5" w15:restartNumberingAfterBreak="0">
    <w:nsid w:val="2EFE0562"/>
    <w:multiLevelType w:val="hybridMultilevel"/>
    <w:tmpl w:val="509AB0CE"/>
    <w:lvl w:ilvl="0" w:tplc="65DACC30">
      <w:numFmt w:val="bullet"/>
      <w:lvlText w:val=""/>
      <w:lvlJc w:val="left"/>
      <w:pPr>
        <w:ind w:left="820" w:hanging="361"/>
      </w:pPr>
      <w:rPr>
        <w:rFonts w:ascii="Symbol" w:eastAsia="Symbol" w:hAnsi="Symbol" w:cs="Symbol" w:hint="default"/>
        <w:w w:val="100"/>
        <w:sz w:val="22"/>
        <w:szCs w:val="22"/>
        <w:lang w:val="en-US" w:eastAsia="en-US" w:bidi="en-US"/>
      </w:rPr>
    </w:lvl>
    <w:lvl w:ilvl="1" w:tplc="F3D02BFE">
      <w:numFmt w:val="bullet"/>
      <w:lvlText w:val="•"/>
      <w:lvlJc w:val="left"/>
      <w:pPr>
        <w:ind w:left="1764" w:hanging="361"/>
      </w:pPr>
      <w:rPr>
        <w:rFonts w:hint="default"/>
        <w:lang w:val="en-US" w:eastAsia="en-US" w:bidi="en-US"/>
      </w:rPr>
    </w:lvl>
    <w:lvl w:ilvl="2" w:tplc="F8EC074A">
      <w:numFmt w:val="bullet"/>
      <w:lvlText w:val="•"/>
      <w:lvlJc w:val="left"/>
      <w:pPr>
        <w:ind w:left="2708" w:hanging="361"/>
      </w:pPr>
      <w:rPr>
        <w:rFonts w:hint="default"/>
        <w:lang w:val="en-US" w:eastAsia="en-US" w:bidi="en-US"/>
      </w:rPr>
    </w:lvl>
    <w:lvl w:ilvl="3" w:tplc="0730FFFC">
      <w:numFmt w:val="bullet"/>
      <w:lvlText w:val="•"/>
      <w:lvlJc w:val="left"/>
      <w:pPr>
        <w:ind w:left="3652" w:hanging="361"/>
      </w:pPr>
      <w:rPr>
        <w:rFonts w:hint="default"/>
        <w:lang w:val="en-US" w:eastAsia="en-US" w:bidi="en-US"/>
      </w:rPr>
    </w:lvl>
    <w:lvl w:ilvl="4" w:tplc="2A50A432">
      <w:numFmt w:val="bullet"/>
      <w:lvlText w:val="•"/>
      <w:lvlJc w:val="left"/>
      <w:pPr>
        <w:ind w:left="4596" w:hanging="361"/>
      </w:pPr>
      <w:rPr>
        <w:rFonts w:hint="default"/>
        <w:lang w:val="en-US" w:eastAsia="en-US" w:bidi="en-US"/>
      </w:rPr>
    </w:lvl>
    <w:lvl w:ilvl="5" w:tplc="88187E8E">
      <w:numFmt w:val="bullet"/>
      <w:lvlText w:val="•"/>
      <w:lvlJc w:val="left"/>
      <w:pPr>
        <w:ind w:left="5540" w:hanging="361"/>
      </w:pPr>
      <w:rPr>
        <w:rFonts w:hint="default"/>
        <w:lang w:val="en-US" w:eastAsia="en-US" w:bidi="en-US"/>
      </w:rPr>
    </w:lvl>
    <w:lvl w:ilvl="6" w:tplc="B62C34D8">
      <w:numFmt w:val="bullet"/>
      <w:lvlText w:val="•"/>
      <w:lvlJc w:val="left"/>
      <w:pPr>
        <w:ind w:left="6484" w:hanging="361"/>
      </w:pPr>
      <w:rPr>
        <w:rFonts w:hint="default"/>
        <w:lang w:val="en-US" w:eastAsia="en-US" w:bidi="en-US"/>
      </w:rPr>
    </w:lvl>
    <w:lvl w:ilvl="7" w:tplc="BAFABF62">
      <w:numFmt w:val="bullet"/>
      <w:lvlText w:val="•"/>
      <w:lvlJc w:val="left"/>
      <w:pPr>
        <w:ind w:left="7428" w:hanging="361"/>
      </w:pPr>
      <w:rPr>
        <w:rFonts w:hint="default"/>
        <w:lang w:val="en-US" w:eastAsia="en-US" w:bidi="en-US"/>
      </w:rPr>
    </w:lvl>
    <w:lvl w:ilvl="8" w:tplc="9FFC3808">
      <w:numFmt w:val="bullet"/>
      <w:lvlText w:val="•"/>
      <w:lvlJc w:val="left"/>
      <w:pPr>
        <w:ind w:left="8372" w:hanging="361"/>
      </w:pPr>
      <w:rPr>
        <w:rFonts w:hint="default"/>
        <w:lang w:val="en-US" w:eastAsia="en-US" w:bidi="en-US"/>
      </w:rPr>
    </w:lvl>
  </w:abstractNum>
  <w:abstractNum w:abstractNumId="6" w15:restartNumberingAfterBreak="0">
    <w:nsid w:val="3A853211"/>
    <w:multiLevelType w:val="hybridMultilevel"/>
    <w:tmpl w:val="01BCEC5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3355922"/>
    <w:multiLevelType w:val="hybridMultilevel"/>
    <w:tmpl w:val="E326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F2321"/>
    <w:multiLevelType w:val="hybridMultilevel"/>
    <w:tmpl w:val="CDDC18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80D7BC9"/>
    <w:multiLevelType w:val="multilevel"/>
    <w:tmpl w:val="0409001D"/>
    <w:lvl w:ilvl="0">
      <w:start w:val="1"/>
      <w:numFmt w:val="decimal"/>
      <w:lvlText w:val="%1)"/>
      <w:lvlJc w:val="left"/>
      <w:pPr>
        <w:ind w:left="911" w:hanging="360"/>
      </w:pPr>
    </w:lvl>
    <w:lvl w:ilvl="1">
      <w:start w:val="1"/>
      <w:numFmt w:val="lowerLetter"/>
      <w:lvlText w:val="%2)"/>
      <w:lvlJc w:val="left"/>
      <w:pPr>
        <w:ind w:left="1271" w:hanging="360"/>
      </w:pPr>
    </w:lvl>
    <w:lvl w:ilvl="2">
      <w:start w:val="1"/>
      <w:numFmt w:val="lowerRoman"/>
      <w:lvlText w:val="%3)"/>
      <w:lvlJc w:val="left"/>
      <w:pPr>
        <w:ind w:left="1631" w:hanging="360"/>
      </w:pPr>
    </w:lvl>
    <w:lvl w:ilvl="3">
      <w:start w:val="1"/>
      <w:numFmt w:val="decimal"/>
      <w:lvlText w:val="(%4)"/>
      <w:lvlJc w:val="left"/>
      <w:pPr>
        <w:ind w:left="1991" w:hanging="360"/>
      </w:pPr>
    </w:lvl>
    <w:lvl w:ilvl="4">
      <w:start w:val="1"/>
      <w:numFmt w:val="lowerLetter"/>
      <w:lvlText w:val="(%5)"/>
      <w:lvlJc w:val="left"/>
      <w:pPr>
        <w:ind w:left="2351" w:hanging="360"/>
      </w:pPr>
    </w:lvl>
    <w:lvl w:ilvl="5">
      <w:start w:val="1"/>
      <w:numFmt w:val="lowerRoman"/>
      <w:lvlText w:val="(%6)"/>
      <w:lvlJc w:val="left"/>
      <w:pPr>
        <w:ind w:left="2711" w:hanging="360"/>
      </w:pPr>
    </w:lvl>
    <w:lvl w:ilvl="6">
      <w:start w:val="1"/>
      <w:numFmt w:val="decimal"/>
      <w:lvlText w:val="%7."/>
      <w:lvlJc w:val="left"/>
      <w:pPr>
        <w:ind w:left="3071" w:hanging="360"/>
      </w:pPr>
    </w:lvl>
    <w:lvl w:ilvl="7">
      <w:start w:val="1"/>
      <w:numFmt w:val="lowerLetter"/>
      <w:lvlText w:val="%8."/>
      <w:lvlJc w:val="left"/>
      <w:pPr>
        <w:ind w:left="3431" w:hanging="360"/>
      </w:pPr>
    </w:lvl>
    <w:lvl w:ilvl="8">
      <w:start w:val="1"/>
      <w:numFmt w:val="lowerRoman"/>
      <w:lvlText w:val="%9."/>
      <w:lvlJc w:val="left"/>
      <w:pPr>
        <w:ind w:left="3791" w:hanging="360"/>
      </w:pPr>
    </w:lvl>
  </w:abstractNum>
  <w:abstractNum w:abstractNumId="10" w15:restartNumberingAfterBreak="0">
    <w:nsid w:val="691F10AE"/>
    <w:multiLevelType w:val="hybridMultilevel"/>
    <w:tmpl w:val="F21EF48A"/>
    <w:lvl w:ilvl="0" w:tplc="978694CA">
      <w:start w:val="1"/>
      <w:numFmt w:val="decimal"/>
      <w:lvlText w:val="%1."/>
      <w:lvlJc w:val="left"/>
      <w:pPr>
        <w:ind w:left="551" w:hanging="361"/>
      </w:pPr>
      <w:rPr>
        <w:rFonts w:hint="default"/>
        <w:b w:val="0"/>
        <w:bCs/>
        <w:w w:val="100"/>
        <w:lang w:val="en-US" w:eastAsia="en-US" w:bidi="en-US"/>
      </w:rPr>
    </w:lvl>
    <w:lvl w:ilvl="1" w:tplc="F8A2EE16">
      <w:start w:val="1"/>
      <w:numFmt w:val="lowerLetter"/>
      <w:lvlText w:val="%2."/>
      <w:lvlJc w:val="left"/>
      <w:pPr>
        <w:ind w:left="1091" w:hanging="358"/>
      </w:pPr>
      <w:rPr>
        <w:rFonts w:hint="default"/>
        <w:b w:val="0"/>
        <w:color w:val="auto"/>
        <w:w w:val="100"/>
        <w:sz w:val="22"/>
        <w:szCs w:val="22"/>
        <w:lang w:val="en-US" w:eastAsia="en-US" w:bidi="en-US"/>
      </w:rPr>
    </w:lvl>
    <w:lvl w:ilvl="2" w:tplc="0409001B">
      <w:start w:val="1"/>
      <w:numFmt w:val="lowerRoman"/>
      <w:lvlText w:val="%3."/>
      <w:lvlJc w:val="right"/>
      <w:pPr>
        <w:ind w:left="2117" w:hanging="358"/>
      </w:pPr>
      <w:rPr>
        <w:rFonts w:hint="default"/>
        <w:lang w:val="en-US" w:eastAsia="en-US" w:bidi="en-US"/>
      </w:rPr>
    </w:lvl>
    <w:lvl w:ilvl="3" w:tplc="99365552">
      <w:numFmt w:val="bullet"/>
      <w:lvlText w:val="•"/>
      <w:lvlJc w:val="left"/>
      <w:pPr>
        <w:ind w:left="3135" w:hanging="358"/>
      </w:pPr>
      <w:rPr>
        <w:rFonts w:hint="default"/>
        <w:lang w:val="en-US" w:eastAsia="en-US" w:bidi="en-US"/>
      </w:rPr>
    </w:lvl>
    <w:lvl w:ilvl="4" w:tplc="9FB8F186">
      <w:numFmt w:val="bullet"/>
      <w:lvlText w:val="•"/>
      <w:lvlJc w:val="left"/>
      <w:pPr>
        <w:ind w:left="4153" w:hanging="358"/>
      </w:pPr>
      <w:rPr>
        <w:rFonts w:hint="default"/>
        <w:lang w:val="en-US" w:eastAsia="en-US" w:bidi="en-US"/>
      </w:rPr>
    </w:lvl>
    <w:lvl w:ilvl="5" w:tplc="378EA434">
      <w:numFmt w:val="bullet"/>
      <w:lvlText w:val="•"/>
      <w:lvlJc w:val="left"/>
      <w:pPr>
        <w:ind w:left="5171" w:hanging="358"/>
      </w:pPr>
      <w:rPr>
        <w:rFonts w:hint="default"/>
        <w:lang w:val="en-US" w:eastAsia="en-US" w:bidi="en-US"/>
      </w:rPr>
    </w:lvl>
    <w:lvl w:ilvl="6" w:tplc="D10C6012">
      <w:numFmt w:val="bullet"/>
      <w:lvlText w:val="•"/>
      <w:lvlJc w:val="left"/>
      <w:pPr>
        <w:ind w:left="6188" w:hanging="358"/>
      </w:pPr>
      <w:rPr>
        <w:rFonts w:hint="default"/>
        <w:lang w:val="en-US" w:eastAsia="en-US" w:bidi="en-US"/>
      </w:rPr>
    </w:lvl>
    <w:lvl w:ilvl="7" w:tplc="13B8BD8E">
      <w:numFmt w:val="bullet"/>
      <w:lvlText w:val="•"/>
      <w:lvlJc w:val="left"/>
      <w:pPr>
        <w:ind w:left="7206" w:hanging="358"/>
      </w:pPr>
      <w:rPr>
        <w:rFonts w:hint="default"/>
        <w:lang w:val="en-US" w:eastAsia="en-US" w:bidi="en-US"/>
      </w:rPr>
    </w:lvl>
    <w:lvl w:ilvl="8" w:tplc="692C3AB0">
      <w:numFmt w:val="bullet"/>
      <w:lvlText w:val="•"/>
      <w:lvlJc w:val="left"/>
      <w:pPr>
        <w:ind w:left="8224" w:hanging="358"/>
      </w:pPr>
      <w:rPr>
        <w:rFonts w:hint="default"/>
        <w:lang w:val="en-US" w:eastAsia="en-US" w:bidi="en-US"/>
      </w:rPr>
    </w:lvl>
  </w:abstractNum>
  <w:abstractNum w:abstractNumId="11" w15:restartNumberingAfterBreak="0">
    <w:nsid w:val="76CE135E"/>
    <w:multiLevelType w:val="hybridMultilevel"/>
    <w:tmpl w:val="6F928D88"/>
    <w:lvl w:ilvl="0" w:tplc="16FAC920">
      <w:numFmt w:val="bullet"/>
      <w:lvlText w:val=""/>
      <w:lvlJc w:val="left"/>
      <w:pPr>
        <w:ind w:left="820" w:hanging="361"/>
      </w:pPr>
      <w:rPr>
        <w:rFonts w:ascii="Symbol" w:eastAsia="Symbol" w:hAnsi="Symbol" w:cs="Symbol" w:hint="default"/>
        <w:w w:val="100"/>
        <w:sz w:val="22"/>
        <w:szCs w:val="22"/>
        <w:lang w:val="en-US" w:eastAsia="en-US" w:bidi="en-US"/>
      </w:rPr>
    </w:lvl>
    <w:lvl w:ilvl="1" w:tplc="89921D16">
      <w:numFmt w:val="bullet"/>
      <w:lvlText w:val="•"/>
      <w:lvlJc w:val="left"/>
      <w:pPr>
        <w:ind w:left="1764" w:hanging="361"/>
      </w:pPr>
      <w:rPr>
        <w:rFonts w:hint="default"/>
        <w:lang w:val="en-US" w:eastAsia="en-US" w:bidi="en-US"/>
      </w:rPr>
    </w:lvl>
    <w:lvl w:ilvl="2" w:tplc="191481EC">
      <w:numFmt w:val="bullet"/>
      <w:lvlText w:val="•"/>
      <w:lvlJc w:val="left"/>
      <w:pPr>
        <w:ind w:left="2708" w:hanging="361"/>
      </w:pPr>
      <w:rPr>
        <w:rFonts w:hint="default"/>
        <w:lang w:val="en-US" w:eastAsia="en-US" w:bidi="en-US"/>
      </w:rPr>
    </w:lvl>
    <w:lvl w:ilvl="3" w:tplc="9D7075A0">
      <w:numFmt w:val="bullet"/>
      <w:lvlText w:val="•"/>
      <w:lvlJc w:val="left"/>
      <w:pPr>
        <w:ind w:left="3652" w:hanging="361"/>
      </w:pPr>
      <w:rPr>
        <w:rFonts w:hint="default"/>
        <w:lang w:val="en-US" w:eastAsia="en-US" w:bidi="en-US"/>
      </w:rPr>
    </w:lvl>
    <w:lvl w:ilvl="4" w:tplc="F8EE60A2">
      <w:numFmt w:val="bullet"/>
      <w:lvlText w:val="•"/>
      <w:lvlJc w:val="left"/>
      <w:pPr>
        <w:ind w:left="4596" w:hanging="361"/>
      </w:pPr>
      <w:rPr>
        <w:rFonts w:hint="default"/>
        <w:lang w:val="en-US" w:eastAsia="en-US" w:bidi="en-US"/>
      </w:rPr>
    </w:lvl>
    <w:lvl w:ilvl="5" w:tplc="C37E4ABE">
      <w:numFmt w:val="bullet"/>
      <w:lvlText w:val="•"/>
      <w:lvlJc w:val="left"/>
      <w:pPr>
        <w:ind w:left="5540" w:hanging="361"/>
      </w:pPr>
      <w:rPr>
        <w:rFonts w:hint="default"/>
        <w:lang w:val="en-US" w:eastAsia="en-US" w:bidi="en-US"/>
      </w:rPr>
    </w:lvl>
    <w:lvl w:ilvl="6" w:tplc="D2EA1994">
      <w:numFmt w:val="bullet"/>
      <w:lvlText w:val="•"/>
      <w:lvlJc w:val="left"/>
      <w:pPr>
        <w:ind w:left="6484" w:hanging="361"/>
      </w:pPr>
      <w:rPr>
        <w:rFonts w:hint="default"/>
        <w:lang w:val="en-US" w:eastAsia="en-US" w:bidi="en-US"/>
      </w:rPr>
    </w:lvl>
    <w:lvl w:ilvl="7" w:tplc="AD842CC4">
      <w:numFmt w:val="bullet"/>
      <w:lvlText w:val="•"/>
      <w:lvlJc w:val="left"/>
      <w:pPr>
        <w:ind w:left="7428" w:hanging="361"/>
      </w:pPr>
      <w:rPr>
        <w:rFonts w:hint="default"/>
        <w:lang w:val="en-US" w:eastAsia="en-US" w:bidi="en-US"/>
      </w:rPr>
    </w:lvl>
    <w:lvl w:ilvl="8" w:tplc="C72C963C">
      <w:numFmt w:val="bullet"/>
      <w:lvlText w:val="•"/>
      <w:lvlJc w:val="left"/>
      <w:pPr>
        <w:ind w:left="8372" w:hanging="361"/>
      </w:pPr>
      <w:rPr>
        <w:rFonts w:hint="default"/>
        <w:lang w:val="en-US" w:eastAsia="en-US" w:bidi="en-US"/>
      </w:rPr>
    </w:lvl>
  </w:abstractNum>
  <w:abstractNum w:abstractNumId="12" w15:restartNumberingAfterBreak="0">
    <w:nsid w:val="77362DE9"/>
    <w:multiLevelType w:val="hybridMultilevel"/>
    <w:tmpl w:val="684A629C"/>
    <w:lvl w:ilvl="0" w:tplc="CB6472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11"/>
  </w:num>
  <w:num w:numId="4">
    <w:abstractNumId w:val="4"/>
  </w:num>
  <w:num w:numId="5">
    <w:abstractNumId w:val="8"/>
  </w:num>
  <w:num w:numId="6">
    <w:abstractNumId w:val="3"/>
  </w:num>
  <w:num w:numId="7">
    <w:abstractNumId w:val="2"/>
  </w:num>
  <w:num w:numId="8">
    <w:abstractNumId w:val="0"/>
  </w:num>
  <w:num w:numId="9">
    <w:abstractNumId w:val="9"/>
  </w:num>
  <w:num w:numId="10">
    <w:abstractNumId w:val="1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5A"/>
    <w:rsid w:val="00010244"/>
    <w:rsid w:val="0004763D"/>
    <w:rsid w:val="00066B69"/>
    <w:rsid w:val="0009393A"/>
    <w:rsid w:val="000B422E"/>
    <w:rsid w:val="000C2B35"/>
    <w:rsid w:val="000C7F12"/>
    <w:rsid w:val="000D4C1B"/>
    <w:rsid w:val="00112FB4"/>
    <w:rsid w:val="001B5B6D"/>
    <w:rsid w:val="001C0C56"/>
    <w:rsid w:val="001E6491"/>
    <w:rsid w:val="0022014D"/>
    <w:rsid w:val="0031055A"/>
    <w:rsid w:val="00330739"/>
    <w:rsid w:val="003446E1"/>
    <w:rsid w:val="003B03B7"/>
    <w:rsid w:val="003C2699"/>
    <w:rsid w:val="003D2C76"/>
    <w:rsid w:val="004779B0"/>
    <w:rsid w:val="00481693"/>
    <w:rsid w:val="00551CBD"/>
    <w:rsid w:val="0056445B"/>
    <w:rsid w:val="00565E3B"/>
    <w:rsid w:val="005B250D"/>
    <w:rsid w:val="005D1EE4"/>
    <w:rsid w:val="005D5572"/>
    <w:rsid w:val="006B4D86"/>
    <w:rsid w:val="00725FE3"/>
    <w:rsid w:val="00795808"/>
    <w:rsid w:val="007C46C0"/>
    <w:rsid w:val="007E5F59"/>
    <w:rsid w:val="00837C1A"/>
    <w:rsid w:val="008570F2"/>
    <w:rsid w:val="0086045B"/>
    <w:rsid w:val="008B3580"/>
    <w:rsid w:val="0090756E"/>
    <w:rsid w:val="00911412"/>
    <w:rsid w:val="009466D9"/>
    <w:rsid w:val="0096251A"/>
    <w:rsid w:val="009C2E63"/>
    <w:rsid w:val="009C7F35"/>
    <w:rsid w:val="00A41B3B"/>
    <w:rsid w:val="00A77C05"/>
    <w:rsid w:val="00A8016C"/>
    <w:rsid w:val="00AA4012"/>
    <w:rsid w:val="00AC03B7"/>
    <w:rsid w:val="00AD1B28"/>
    <w:rsid w:val="00AE7C6B"/>
    <w:rsid w:val="00B02FB9"/>
    <w:rsid w:val="00B61A0B"/>
    <w:rsid w:val="00B658FE"/>
    <w:rsid w:val="00B86609"/>
    <w:rsid w:val="00BC33C3"/>
    <w:rsid w:val="00C15598"/>
    <w:rsid w:val="00C2012E"/>
    <w:rsid w:val="00C375B1"/>
    <w:rsid w:val="00C5004B"/>
    <w:rsid w:val="00C71A96"/>
    <w:rsid w:val="00C76D83"/>
    <w:rsid w:val="00CD02CB"/>
    <w:rsid w:val="00CD6E65"/>
    <w:rsid w:val="00D819CA"/>
    <w:rsid w:val="00D97A96"/>
    <w:rsid w:val="00D97B00"/>
    <w:rsid w:val="00DA18E9"/>
    <w:rsid w:val="00DD2548"/>
    <w:rsid w:val="00E213DD"/>
    <w:rsid w:val="00E34A24"/>
    <w:rsid w:val="00E819FB"/>
    <w:rsid w:val="00EB3EE7"/>
    <w:rsid w:val="00EB7086"/>
    <w:rsid w:val="00EC0FC4"/>
    <w:rsid w:val="00F10B87"/>
    <w:rsid w:val="00F26603"/>
    <w:rsid w:val="00F354D2"/>
    <w:rsid w:val="00F662A3"/>
    <w:rsid w:val="00FA7933"/>
    <w:rsid w:val="00FD631F"/>
    <w:rsid w:val="00FE3D76"/>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4"/>
      <w:ind w:left="100"/>
      <w:outlineLvl w:val="0"/>
    </w:pPr>
    <w:rPr>
      <w:rFonts w:ascii="Calibri Light" w:eastAsia="Calibri Light" w:hAnsi="Calibri Light" w:cs="Calibri Light"/>
      <w:sz w:val="32"/>
      <w:szCs w:val="32"/>
    </w:rPr>
  </w:style>
  <w:style w:type="paragraph" w:styleId="Heading2">
    <w:name w:val="heading 2"/>
    <w:basedOn w:val="Normal"/>
    <w:uiPriority w:val="1"/>
    <w:qFormat/>
    <w:pPr>
      <w:ind w:left="551" w:hanging="361"/>
      <w:outlineLvl w:val="1"/>
    </w:pPr>
    <w:rPr>
      <w:b/>
      <w:bCs/>
    </w:rPr>
  </w:style>
  <w:style w:type="paragraph" w:styleId="Heading3">
    <w:name w:val="heading 3"/>
    <w:basedOn w:val="Normal"/>
    <w:next w:val="Normal"/>
    <w:link w:val="Heading3Char"/>
    <w:uiPriority w:val="9"/>
    <w:semiHidden/>
    <w:unhideWhenUsed/>
    <w:qFormat/>
    <w:rsid w:val="000102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C05"/>
    <w:rPr>
      <w:color w:val="0000FF" w:themeColor="hyperlink"/>
      <w:u w:val="single"/>
    </w:rPr>
  </w:style>
  <w:style w:type="character" w:styleId="CommentReference">
    <w:name w:val="annotation reference"/>
    <w:basedOn w:val="DefaultParagraphFont"/>
    <w:uiPriority w:val="99"/>
    <w:semiHidden/>
    <w:unhideWhenUsed/>
    <w:rsid w:val="00725FE3"/>
    <w:rPr>
      <w:sz w:val="16"/>
      <w:szCs w:val="16"/>
    </w:rPr>
  </w:style>
  <w:style w:type="paragraph" w:styleId="CommentText">
    <w:name w:val="annotation text"/>
    <w:basedOn w:val="Normal"/>
    <w:link w:val="CommentTextChar"/>
    <w:uiPriority w:val="99"/>
    <w:semiHidden/>
    <w:unhideWhenUsed/>
    <w:rsid w:val="00725FE3"/>
    <w:rPr>
      <w:sz w:val="20"/>
      <w:szCs w:val="20"/>
    </w:rPr>
  </w:style>
  <w:style w:type="character" w:customStyle="1" w:styleId="CommentTextChar">
    <w:name w:val="Comment Text Char"/>
    <w:basedOn w:val="DefaultParagraphFont"/>
    <w:link w:val="CommentText"/>
    <w:uiPriority w:val="99"/>
    <w:semiHidden/>
    <w:rsid w:val="00725FE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25FE3"/>
    <w:rPr>
      <w:b/>
      <w:bCs/>
    </w:rPr>
  </w:style>
  <w:style w:type="character" w:customStyle="1" w:styleId="CommentSubjectChar">
    <w:name w:val="Comment Subject Char"/>
    <w:basedOn w:val="CommentTextChar"/>
    <w:link w:val="CommentSubject"/>
    <w:uiPriority w:val="99"/>
    <w:semiHidden/>
    <w:rsid w:val="00725FE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2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E3"/>
    <w:rPr>
      <w:rFonts w:ascii="Segoe UI" w:eastAsia="Calibri" w:hAnsi="Segoe UI" w:cs="Segoe UI"/>
      <w:sz w:val="18"/>
      <w:szCs w:val="18"/>
      <w:lang w:bidi="en-US"/>
    </w:rPr>
  </w:style>
  <w:style w:type="character" w:customStyle="1" w:styleId="Heading3Char">
    <w:name w:val="Heading 3 Char"/>
    <w:basedOn w:val="DefaultParagraphFont"/>
    <w:link w:val="Heading3"/>
    <w:uiPriority w:val="9"/>
    <w:semiHidden/>
    <w:rsid w:val="00010244"/>
    <w:rPr>
      <w:rFonts w:asciiTheme="majorHAnsi" w:eastAsiaTheme="majorEastAsia" w:hAnsiTheme="majorHAnsi" w:cstheme="majorBidi"/>
      <w:color w:val="243F60" w:themeColor="accent1" w:themeShade="7F"/>
      <w:sz w:val="24"/>
      <w:szCs w:val="24"/>
      <w:lang w:bidi="en-US"/>
    </w:rPr>
  </w:style>
  <w:style w:type="character" w:styleId="FollowedHyperlink">
    <w:name w:val="FollowedHyperlink"/>
    <w:basedOn w:val="DefaultParagraphFont"/>
    <w:uiPriority w:val="99"/>
    <w:semiHidden/>
    <w:unhideWhenUsed/>
    <w:rsid w:val="00010244"/>
    <w:rPr>
      <w:color w:val="800080" w:themeColor="followedHyperlink"/>
      <w:u w:val="single"/>
    </w:rPr>
  </w:style>
  <w:style w:type="paragraph" w:styleId="Header">
    <w:name w:val="header"/>
    <w:basedOn w:val="Normal"/>
    <w:link w:val="HeaderChar"/>
    <w:uiPriority w:val="99"/>
    <w:unhideWhenUsed/>
    <w:rsid w:val="004779B0"/>
    <w:pPr>
      <w:tabs>
        <w:tab w:val="center" w:pos="4680"/>
        <w:tab w:val="right" w:pos="9360"/>
      </w:tabs>
    </w:pPr>
  </w:style>
  <w:style w:type="character" w:customStyle="1" w:styleId="HeaderChar">
    <w:name w:val="Header Char"/>
    <w:basedOn w:val="DefaultParagraphFont"/>
    <w:link w:val="Header"/>
    <w:uiPriority w:val="99"/>
    <w:rsid w:val="004779B0"/>
    <w:rPr>
      <w:rFonts w:ascii="Calibri" w:eastAsia="Calibri" w:hAnsi="Calibri" w:cs="Calibri"/>
      <w:lang w:bidi="en-US"/>
    </w:rPr>
  </w:style>
  <w:style w:type="paragraph" w:styleId="Footer">
    <w:name w:val="footer"/>
    <w:basedOn w:val="Normal"/>
    <w:link w:val="FooterChar"/>
    <w:uiPriority w:val="99"/>
    <w:unhideWhenUsed/>
    <w:rsid w:val="004779B0"/>
    <w:pPr>
      <w:tabs>
        <w:tab w:val="center" w:pos="4680"/>
        <w:tab w:val="right" w:pos="9360"/>
      </w:tabs>
    </w:pPr>
  </w:style>
  <w:style w:type="character" w:customStyle="1" w:styleId="FooterChar">
    <w:name w:val="Footer Char"/>
    <w:basedOn w:val="DefaultParagraphFont"/>
    <w:link w:val="Footer"/>
    <w:uiPriority w:val="99"/>
    <w:rsid w:val="004779B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app.leg.wa.gov/RCW/default.aspx?cite=39.26.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39.26.1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RCW/default.aspx?cite=28B.10.016" TargetMode="External"/><Relationship Id="rId4" Type="http://schemas.openxmlformats.org/officeDocument/2006/relationships/webSettings" Target="webSettings.xml"/><Relationship Id="rId9" Type="http://schemas.openxmlformats.org/officeDocument/2006/relationships/hyperlink" Target="http://apps.leg.wa.gov/RCW/default.aspx?cite=28B.10.0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2020-06-23T21:11:00Z</dcterms:created>
  <dcterms:modified xsi:type="dcterms:W3CDTF">2020-06-23T21:11:00Z</dcterms:modified>
</cp:coreProperties>
</file>