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48DF2" w14:textId="307E8048" w:rsidR="00CE6479" w:rsidRPr="00012EFA" w:rsidRDefault="00CE6479" w:rsidP="00CE6479">
      <w:pPr>
        <w:pStyle w:val="Subtitle"/>
        <w:spacing w:after="0"/>
        <w:rPr>
          <w:rFonts w:ascii="Calibri" w:hAnsi="Calibri" w:cstheme="minorHAnsi"/>
          <w:b w:val="0"/>
        </w:rPr>
      </w:pPr>
      <w:bookmarkStart w:id="0" w:name="_GoBack"/>
      <w:bookmarkEnd w:id="0"/>
      <w:r w:rsidRPr="00012EFA">
        <w:rPr>
          <w:rFonts w:ascii="Calibri" w:hAnsi="Calibri" w:cstheme="minorHAnsi"/>
        </w:rPr>
        <w:t xml:space="preserve">Enterprise Services Policy No. </w:t>
      </w:r>
      <w:r w:rsidR="00B75D30" w:rsidRPr="00012EFA">
        <w:rPr>
          <w:rFonts w:ascii="Calibri" w:hAnsi="Calibri" w:cstheme="minorHAnsi"/>
        </w:rPr>
        <w:t xml:space="preserve"> </w:t>
      </w:r>
      <w:r w:rsidR="00B706DF" w:rsidRPr="00012EFA">
        <w:rPr>
          <w:rFonts w:ascii="Calibri" w:hAnsi="Calibri" w:cstheme="minorHAnsi"/>
        </w:rPr>
        <w:t>POL-DES-1</w:t>
      </w:r>
      <w:r w:rsidR="004E41BA" w:rsidRPr="00012EFA">
        <w:rPr>
          <w:rFonts w:ascii="Calibri" w:hAnsi="Calibri" w:cstheme="minorHAnsi"/>
        </w:rPr>
        <w:t>90-00</w:t>
      </w:r>
    </w:p>
    <w:p w14:paraId="39A668F6" w14:textId="20B1FCFB" w:rsidR="00CE6479" w:rsidRPr="00012EFA" w:rsidRDefault="0011511B" w:rsidP="00295C76">
      <w:pPr>
        <w:pStyle w:val="Title"/>
        <w:rPr>
          <w:rFonts w:ascii="Calibri" w:hAnsi="Calibri"/>
          <w:color w:val="1F3864" w:themeColor="accent5" w:themeShade="80"/>
          <w:spacing w:val="0"/>
          <w:kern w:val="0"/>
        </w:rPr>
      </w:pPr>
      <w:r>
        <w:rPr>
          <w:rFonts w:ascii="Calibri" w:hAnsi="Calibri"/>
          <w:color w:val="1F3864" w:themeColor="accent5" w:themeShade="80"/>
          <w:spacing w:val="0"/>
          <w:kern w:val="0"/>
        </w:rPr>
        <w:t xml:space="preserve">Procurement </w:t>
      </w:r>
      <w:r w:rsidR="009C7FB8" w:rsidRPr="00012EFA">
        <w:rPr>
          <w:rFonts w:ascii="Calibri" w:hAnsi="Calibri"/>
          <w:color w:val="1F3864" w:themeColor="accent5" w:themeShade="80"/>
          <w:spacing w:val="0"/>
          <w:kern w:val="0"/>
        </w:rPr>
        <w:t>B</w:t>
      </w:r>
      <w:r w:rsidR="004E41BA" w:rsidRPr="00012EFA">
        <w:rPr>
          <w:rFonts w:ascii="Calibri" w:hAnsi="Calibri"/>
          <w:color w:val="1F3864" w:themeColor="accent5" w:themeShade="80"/>
          <w:spacing w:val="0"/>
          <w:kern w:val="0"/>
        </w:rPr>
        <w:t>ond</w:t>
      </w:r>
      <w:r w:rsidR="009C7FB8" w:rsidRPr="00012EFA">
        <w:rPr>
          <w:rFonts w:ascii="Calibri" w:hAnsi="Calibri"/>
          <w:color w:val="1F3864" w:themeColor="accent5" w:themeShade="80"/>
          <w:spacing w:val="0"/>
          <w:kern w:val="0"/>
        </w:rPr>
        <w:t>s</w:t>
      </w:r>
    </w:p>
    <w:p w14:paraId="40157C82" w14:textId="62CBE7A9" w:rsidR="002B0F44" w:rsidRPr="00012EFA" w:rsidRDefault="00CE6479" w:rsidP="002B0F44">
      <w:pPr>
        <w:pStyle w:val="InfoBlock"/>
        <w:pBdr>
          <w:top w:val="single" w:sz="4" w:space="1" w:color="auto"/>
        </w:pBdr>
        <w:rPr>
          <w:rFonts w:ascii="Calibri" w:hAnsi="Calibri" w:cstheme="minorHAnsi"/>
          <w:sz w:val="22"/>
          <w:szCs w:val="22"/>
        </w:rPr>
      </w:pPr>
      <w:r w:rsidRPr="00012EFA">
        <w:rPr>
          <w:rFonts w:ascii="Calibri" w:hAnsi="Calibri" w:cstheme="minorHAnsi"/>
          <w:b/>
          <w:color w:val="000000" w:themeColor="text1"/>
          <w:sz w:val="22"/>
          <w:szCs w:val="22"/>
          <w:lang w:eastAsia="zh-TW"/>
        </w:rPr>
        <w:t>Applies to</w:t>
      </w:r>
      <w:r w:rsidRPr="00012EFA">
        <w:rPr>
          <w:rFonts w:ascii="Calibri" w:hAnsi="Calibri" w:cstheme="minorHAnsi"/>
          <w:sz w:val="22"/>
          <w:szCs w:val="22"/>
          <w:lang w:eastAsia="zh-TW"/>
        </w:rPr>
        <w:t>:</w:t>
      </w:r>
      <w:r w:rsidR="00BB7877" w:rsidRPr="00012EFA">
        <w:rPr>
          <w:rFonts w:ascii="Calibri" w:hAnsi="Calibri" w:cstheme="minorHAnsi"/>
          <w:sz w:val="22"/>
          <w:szCs w:val="22"/>
          <w:lang w:eastAsia="zh-TW"/>
        </w:rPr>
        <w:t xml:space="preserve"> </w:t>
      </w:r>
      <w:r w:rsidR="001562B7" w:rsidRPr="00012EFA">
        <w:rPr>
          <w:rFonts w:ascii="Calibri" w:hAnsi="Calibri" w:cstheme="minorHAnsi"/>
          <w:sz w:val="22"/>
          <w:szCs w:val="22"/>
          <w:lang w:eastAsia="zh-TW"/>
        </w:rPr>
        <w:t xml:space="preserve">Any state office or activity of the executive </w:t>
      </w:r>
      <w:r w:rsidR="007D46A3" w:rsidRPr="00012EFA">
        <w:rPr>
          <w:rFonts w:ascii="Calibri" w:hAnsi="Calibri" w:cstheme="minorHAnsi"/>
          <w:sz w:val="22"/>
          <w:szCs w:val="22"/>
          <w:lang w:eastAsia="zh-TW"/>
        </w:rPr>
        <w:t>branch</w:t>
      </w:r>
      <w:r w:rsidR="001562B7" w:rsidRPr="00012EFA">
        <w:rPr>
          <w:rFonts w:ascii="Calibri" w:hAnsi="Calibri" w:cstheme="minorHAnsi"/>
          <w:sz w:val="22"/>
          <w:szCs w:val="22"/>
          <w:lang w:eastAsia="zh-TW"/>
        </w:rPr>
        <w:t xml:space="preserve"> of state government, including state agencies, departments, offices, divisions, boards, commissions, institutions of higher educat</w:t>
      </w:r>
      <w:r w:rsidR="0019011C" w:rsidRPr="00012EFA">
        <w:rPr>
          <w:rFonts w:ascii="Calibri" w:hAnsi="Calibri" w:cstheme="minorHAnsi"/>
          <w:sz w:val="22"/>
          <w:szCs w:val="22"/>
          <w:lang w:eastAsia="zh-TW"/>
        </w:rPr>
        <w:t>ion as defined in</w:t>
      </w:r>
      <w:r w:rsidR="00D7056D" w:rsidRPr="00012EFA">
        <w:rPr>
          <w:rFonts w:ascii="Calibri" w:hAnsi="Calibri" w:cstheme="minorHAnsi"/>
          <w:color w:val="FF0000"/>
          <w:sz w:val="22"/>
          <w:szCs w:val="22"/>
          <w:lang w:eastAsia="zh-TW"/>
        </w:rPr>
        <w:t xml:space="preserve"> </w:t>
      </w:r>
      <w:hyperlink r:id="rId10" w:history="1">
        <w:r w:rsidR="00D7056D" w:rsidRPr="00012EFA">
          <w:rPr>
            <w:rStyle w:val="Hyperlink"/>
            <w:rFonts w:ascii="Calibri" w:hAnsi="Calibri" w:cstheme="minorHAnsi"/>
            <w:sz w:val="22"/>
            <w:szCs w:val="22"/>
            <w:lang w:eastAsia="zh-TW"/>
          </w:rPr>
          <w:t>RCW 28B.10.016</w:t>
        </w:r>
      </w:hyperlink>
      <w:r w:rsidR="001562B7" w:rsidRPr="00012EFA">
        <w:rPr>
          <w:rFonts w:ascii="Calibri" w:hAnsi="Calibri" w:cstheme="minorHAnsi"/>
          <w:color w:val="FF0000"/>
          <w:sz w:val="22"/>
          <w:szCs w:val="22"/>
          <w:lang w:eastAsia="zh-TW"/>
        </w:rPr>
        <w:t xml:space="preserve"> </w:t>
      </w:r>
      <w:r w:rsidR="001562B7" w:rsidRPr="00012EFA">
        <w:rPr>
          <w:rFonts w:ascii="Calibri" w:hAnsi="Calibri" w:cstheme="minorHAnsi"/>
          <w:sz w:val="22"/>
          <w:szCs w:val="22"/>
          <w:lang w:eastAsia="zh-TW"/>
        </w:rPr>
        <w:t>and correctional and other types of institutions</w:t>
      </w:r>
      <w:r w:rsidR="00B706DF" w:rsidRPr="00012EFA">
        <w:rPr>
          <w:rFonts w:ascii="Calibri" w:hAnsi="Calibri" w:cstheme="minorHAnsi"/>
          <w:sz w:val="22"/>
          <w:szCs w:val="22"/>
          <w:lang w:eastAsia="zh-TW"/>
        </w:rPr>
        <w:t>.</w:t>
      </w:r>
    </w:p>
    <w:p w14:paraId="13566A96" w14:textId="77777777" w:rsidR="00CE6479" w:rsidRPr="00012EFA" w:rsidRDefault="00CE6479" w:rsidP="00CE6479">
      <w:pPr>
        <w:spacing w:after="0"/>
        <w:rPr>
          <w:rFonts w:ascii="Calibri" w:hAnsi="Calibri" w:cstheme="minorHAnsi"/>
          <w:lang w:eastAsia="zh-TW" w:bidi="en-US"/>
        </w:rPr>
      </w:pPr>
      <w:r w:rsidRPr="00012EFA">
        <w:rPr>
          <w:rFonts w:ascii="Calibri" w:hAnsi="Calibri" w:cstheme="minorHAnsi"/>
          <w:b/>
          <w:lang w:eastAsia="zh-TW" w:bidi="en-US"/>
        </w:rPr>
        <w:t>Authorizing sources</w:t>
      </w:r>
      <w:r w:rsidRPr="00012EFA">
        <w:rPr>
          <w:rFonts w:ascii="Calibri" w:hAnsi="Calibri" w:cstheme="minorHAnsi"/>
          <w:lang w:eastAsia="zh-TW" w:bidi="en-US"/>
        </w:rPr>
        <w:t>:</w:t>
      </w:r>
    </w:p>
    <w:p w14:paraId="7543AA6C" w14:textId="77F4AFC3" w:rsidR="009C7FB8" w:rsidRPr="00012EFA" w:rsidRDefault="009C7FB8" w:rsidP="00295C76">
      <w:pPr>
        <w:pStyle w:val="InfoBlock"/>
        <w:numPr>
          <w:ilvl w:val="0"/>
          <w:numId w:val="6"/>
        </w:numPr>
        <w:spacing w:before="0" w:after="0"/>
        <w:rPr>
          <w:rFonts w:ascii="Calibri" w:hAnsi="Calibri" w:cstheme="minorHAnsi"/>
          <w:sz w:val="22"/>
          <w:szCs w:val="22"/>
        </w:rPr>
      </w:pPr>
      <w:r w:rsidRPr="00012EFA">
        <w:rPr>
          <w:rFonts w:ascii="Calibri" w:hAnsi="Calibri" w:cstheme="minorHAnsi"/>
          <w:sz w:val="22"/>
          <w:szCs w:val="22"/>
        </w:rPr>
        <w:t xml:space="preserve">State Law </w:t>
      </w:r>
      <w:hyperlink r:id="rId11" w:history="1">
        <w:r w:rsidR="00B933E4" w:rsidRPr="00012EFA">
          <w:rPr>
            <w:rStyle w:val="Hyperlink"/>
            <w:rFonts w:ascii="Calibri" w:hAnsi="Calibri"/>
            <w:sz w:val="22"/>
          </w:rPr>
          <w:t>RCW 39.26.190</w:t>
        </w:r>
      </w:hyperlink>
    </w:p>
    <w:p w14:paraId="3FEDD856" w14:textId="0B8E640F" w:rsidR="00625432" w:rsidRPr="00012EFA" w:rsidRDefault="004472B0" w:rsidP="00295C76">
      <w:pPr>
        <w:pStyle w:val="InfoBlock"/>
        <w:numPr>
          <w:ilvl w:val="0"/>
          <w:numId w:val="6"/>
        </w:numPr>
        <w:spacing w:before="0" w:after="0"/>
        <w:rPr>
          <w:rFonts w:ascii="Calibri" w:hAnsi="Calibri" w:cstheme="minorHAnsi"/>
          <w:sz w:val="22"/>
          <w:szCs w:val="22"/>
        </w:rPr>
      </w:pPr>
      <w:r w:rsidRPr="00012EFA">
        <w:rPr>
          <w:rFonts w:ascii="Calibri" w:hAnsi="Calibri" w:cstheme="minorHAnsi"/>
          <w:sz w:val="22"/>
          <w:szCs w:val="22"/>
        </w:rPr>
        <w:t>State Law</w:t>
      </w:r>
      <w:r w:rsidR="0075761B" w:rsidRPr="00012EFA">
        <w:rPr>
          <w:rFonts w:ascii="Calibri" w:hAnsi="Calibri" w:cstheme="minorHAnsi"/>
          <w:sz w:val="22"/>
          <w:szCs w:val="22"/>
        </w:rPr>
        <w:t xml:space="preserve"> </w:t>
      </w:r>
      <w:hyperlink r:id="rId12" w:history="1">
        <w:r w:rsidR="00B933E4" w:rsidRPr="00012EFA">
          <w:rPr>
            <w:rStyle w:val="Hyperlink"/>
            <w:rFonts w:ascii="Calibri" w:hAnsi="Calibri"/>
            <w:sz w:val="22"/>
          </w:rPr>
          <w:t>RCW 39.26.180</w:t>
        </w:r>
      </w:hyperlink>
      <w:r w:rsidR="00B933E4" w:rsidRPr="00012EFA">
        <w:rPr>
          <w:rFonts w:ascii="Calibri" w:hAnsi="Calibri"/>
          <w:sz w:val="22"/>
        </w:rPr>
        <w:t xml:space="preserve"> </w:t>
      </w:r>
      <w:r w:rsidR="004E41BA" w:rsidRPr="00012EFA">
        <w:rPr>
          <w:rFonts w:ascii="Calibri" w:hAnsi="Calibri"/>
          <w:sz w:val="22"/>
        </w:rPr>
        <w:t>(1) &amp; (2)</w:t>
      </w:r>
    </w:p>
    <w:p w14:paraId="229132B0" w14:textId="450B7043" w:rsidR="00CE6479" w:rsidRPr="00012EFA" w:rsidRDefault="004472B0" w:rsidP="00295C76">
      <w:pPr>
        <w:pStyle w:val="InfoBlock"/>
        <w:numPr>
          <w:ilvl w:val="0"/>
          <w:numId w:val="6"/>
        </w:numPr>
        <w:spacing w:before="0" w:after="0"/>
        <w:rPr>
          <w:rStyle w:val="Hyperlink"/>
          <w:rFonts w:ascii="Calibri" w:hAnsi="Calibri" w:cstheme="minorHAnsi"/>
          <w:color w:val="auto"/>
          <w:sz w:val="22"/>
          <w:szCs w:val="22"/>
          <w:u w:val="none"/>
        </w:rPr>
      </w:pPr>
      <w:r w:rsidRPr="00012EFA">
        <w:rPr>
          <w:rFonts w:ascii="Calibri" w:hAnsi="Calibri" w:cstheme="minorHAnsi"/>
          <w:sz w:val="22"/>
          <w:szCs w:val="22"/>
        </w:rPr>
        <w:t>State Law</w:t>
      </w:r>
      <w:r w:rsidR="00625432" w:rsidRPr="00012EFA">
        <w:rPr>
          <w:rFonts w:ascii="Calibri" w:hAnsi="Calibri" w:cstheme="minorHAnsi"/>
          <w:sz w:val="22"/>
          <w:szCs w:val="22"/>
        </w:rPr>
        <w:t xml:space="preserve"> </w:t>
      </w:r>
      <w:hyperlink r:id="rId13" w:history="1">
        <w:r w:rsidR="00B933E4" w:rsidRPr="00012EFA">
          <w:rPr>
            <w:rStyle w:val="Hyperlink"/>
            <w:rFonts w:ascii="Calibri" w:hAnsi="Calibri"/>
            <w:sz w:val="22"/>
          </w:rPr>
          <w:t>RCW 39.26.090</w:t>
        </w:r>
      </w:hyperlink>
      <w:r w:rsidR="00B933E4" w:rsidRPr="00012EFA">
        <w:rPr>
          <w:rFonts w:ascii="Calibri" w:hAnsi="Calibri"/>
          <w:sz w:val="22"/>
        </w:rPr>
        <w:t xml:space="preserve"> </w:t>
      </w:r>
      <w:r w:rsidR="004E41BA" w:rsidRPr="00012EFA">
        <w:rPr>
          <w:rFonts w:ascii="Calibri" w:hAnsi="Calibri"/>
          <w:sz w:val="22"/>
        </w:rPr>
        <w:t>(1)</w:t>
      </w:r>
    </w:p>
    <w:p w14:paraId="37523C71" w14:textId="08AA0A04" w:rsidR="0075761B" w:rsidRPr="00012EFA" w:rsidRDefault="0063347B" w:rsidP="0063347B">
      <w:pPr>
        <w:pStyle w:val="InfoBlock"/>
        <w:numPr>
          <w:ilvl w:val="0"/>
          <w:numId w:val="6"/>
        </w:numPr>
        <w:spacing w:before="0" w:after="0"/>
        <w:rPr>
          <w:rStyle w:val="Hyperlink"/>
          <w:rFonts w:ascii="Calibri" w:hAnsi="Calibri" w:cstheme="minorHAnsi"/>
          <w:color w:val="auto"/>
          <w:sz w:val="22"/>
          <w:szCs w:val="22"/>
          <w:u w:val="none"/>
        </w:rPr>
      </w:pPr>
      <w:r w:rsidRPr="00012EFA">
        <w:rPr>
          <w:rFonts w:ascii="Calibri" w:hAnsi="Calibri" w:cstheme="minorHAnsi"/>
          <w:sz w:val="22"/>
          <w:szCs w:val="22"/>
        </w:rPr>
        <w:t xml:space="preserve">State Law </w:t>
      </w:r>
      <w:hyperlink r:id="rId14" w:history="1">
        <w:r w:rsidR="00B933E4" w:rsidRPr="00012EFA">
          <w:rPr>
            <w:rStyle w:val="Hyperlink"/>
            <w:rFonts w:ascii="Calibri" w:hAnsi="Calibri"/>
            <w:sz w:val="22"/>
          </w:rPr>
          <w:t>RCW 39.26.180</w:t>
        </w:r>
      </w:hyperlink>
    </w:p>
    <w:p w14:paraId="68E57EDC" w14:textId="1FA20359" w:rsidR="004E41BA" w:rsidRPr="00012EFA" w:rsidRDefault="004472B0" w:rsidP="004E41BA">
      <w:pPr>
        <w:pStyle w:val="InfoBlock"/>
        <w:numPr>
          <w:ilvl w:val="0"/>
          <w:numId w:val="6"/>
        </w:numPr>
        <w:spacing w:before="0" w:after="0"/>
        <w:rPr>
          <w:rFonts w:ascii="Calibri" w:hAnsi="Calibri" w:cstheme="minorHAnsi"/>
          <w:sz w:val="22"/>
          <w:szCs w:val="22"/>
        </w:rPr>
      </w:pPr>
      <w:r w:rsidRPr="00012EFA">
        <w:rPr>
          <w:rFonts w:ascii="Calibri" w:hAnsi="Calibri" w:cstheme="minorHAnsi"/>
          <w:sz w:val="22"/>
          <w:szCs w:val="22"/>
        </w:rPr>
        <w:t>S</w:t>
      </w:r>
      <w:r w:rsidR="00964413" w:rsidRPr="00012EFA">
        <w:rPr>
          <w:rFonts w:ascii="Calibri" w:hAnsi="Calibri" w:cstheme="minorHAnsi"/>
          <w:sz w:val="22"/>
          <w:szCs w:val="22"/>
        </w:rPr>
        <w:t>t</w:t>
      </w:r>
      <w:r w:rsidRPr="00012EFA">
        <w:rPr>
          <w:rFonts w:ascii="Calibri" w:hAnsi="Calibri" w:cstheme="minorHAnsi"/>
          <w:sz w:val="22"/>
          <w:szCs w:val="22"/>
        </w:rPr>
        <w:t xml:space="preserve">ate Law </w:t>
      </w:r>
      <w:hyperlink r:id="rId15" w:history="1">
        <w:r w:rsidR="00B933E4" w:rsidRPr="00012EFA">
          <w:rPr>
            <w:rStyle w:val="Hyperlink"/>
            <w:rFonts w:ascii="Calibri" w:hAnsi="Calibri"/>
            <w:sz w:val="22"/>
          </w:rPr>
          <w:t>RCW 39.26.005</w:t>
        </w:r>
      </w:hyperlink>
    </w:p>
    <w:p w14:paraId="16412C0A" w14:textId="73F10A91" w:rsidR="009C7FB8" w:rsidRPr="00012EFA" w:rsidRDefault="009C7FB8" w:rsidP="004E41BA">
      <w:pPr>
        <w:pStyle w:val="InfoBlock"/>
        <w:spacing w:before="0" w:after="0"/>
        <w:ind w:left="720"/>
        <w:rPr>
          <w:rFonts w:ascii="Calibri" w:hAnsi="Calibri" w:cstheme="minorHAnsi"/>
          <w:sz w:val="22"/>
          <w:szCs w:val="22"/>
        </w:rPr>
      </w:pPr>
    </w:p>
    <w:p w14:paraId="5D432870" w14:textId="2C0D959F" w:rsidR="00CE6479" w:rsidRPr="00012EFA" w:rsidRDefault="00CE6479" w:rsidP="000E1F27">
      <w:pPr>
        <w:spacing w:after="60"/>
        <w:rPr>
          <w:rFonts w:ascii="Calibri" w:hAnsi="Calibri" w:cstheme="minorHAnsi"/>
          <w:lang w:eastAsia="zh-TW" w:bidi="en-US"/>
        </w:rPr>
      </w:pPr>
      <w:r w:rsidRPr="00012EFA">
        <w:rPr>
          <w:rFonts w:ascii="Calibri" w:hAnsi="Calibri" w:cstheme="minorHAnsi"/>
          <w:b/>
          <w:lang w:eastAsia="zh-TW" w:bidi="en-US"/>
        </w:rPr>
        <w:t>Effective date</w:t>
      </w:r>
      <w:r w:rsidRPr="00012EFA">
        <w:rPr>
          <w:rFonts w:ascii="Calibri" w:hAnsi="Calibri" w:cstheme="minorHAnsi"/>
          <w:lang w:eastAsia="zh-TW" w:bidi="en-US"/>
        </w:rPr>
        <w:t xml:space="preserve">: </w:t>
      </w:r>
      <w:r w:rsidR="00BB7877" w:rsidRPr="00012EFA">
        <w:rPr>
          <w:rFonts w:ascii="Calibri" w:hAnsi="Calibri" w:cstheme="minorHAnsi"/>
        </w:rPr>
        <w:t xml:space="preserve"> </w:t>
      </w:r>
      <w:r w:rsidR="004E41BA" w:rsidRPr="00012EFA">
        <w:rPr>
          <w:rFonts w:ascii="Calibri" w:hAnsi="Calibri" w:cstheme="minorHAnsi"/>
        </w:rPr>
        <w:t>TBD</w:t>
      </w:r>
    </w:p>
    <w:p w14:paraId="7473425A" w14:textId="77777777" w:rsidR="00CE6479" w:rsidRPr="00012EFA" w:rsidRDefault="00CE6479" w:rsidP="000E1F27">
      <w:pPr>
        <w:spacing w:after="60"/>
        <w:rPr>
          <w:rFonts w:ascii="Calibri" w:hAnsi="Calibri" w:cstheme="minorHAnsi"/>
          <w:lang w:eastAsia="zh-TW" w:bidi="en-US"/>
        </w:rPr>
      </w:pPr>
      <w:r w:rsidRPr="00012EFA">
        <w:rPr>
          <w:rFonts w:ascii="Calibri" w:hAnsi="Calibri" w:cstheme="minorHAnsi"/>
          <w:b/>
          <w:lang w:eastAsia="zh-TW" w:bidi="en-US"/>
        </w:rPr>
        <w:t>Last update</w:t>
      </w:r>
      <w:r w:rsidRPr="00012EFA">
        <w:rPr>
          <w:rFonts w:ascii="Calibri" w:hAnsi="Calibri" w:cstheme="minorHAnsi"/>
          <w:lang w:eastAsia="zh-TW" w:bidi="en-US"/>
        </w:rPr>
        <w:t xml:space="preserve">: </w:t>
      </w:r>
      <w:r w:rsidR="00C666A6" w:rsidRPr="00012EFA">
        <w:rPr>
          <w:rFonts w:ascii="Calibri" w:hAnsi="Calibri" w:cstheme="minorHAnsi"/>
        </w:rPr>
        <w:t xml:space="preserve"> </w:t>
      </w:r>
      <w:r w:rsidR="00964413" w:rsidRPr="00012EFA">
        <w:rPr>
          <w:rFonts w:ascii="Calibri" w:hAnsi="Calibri" w:cstheme="minorHAnsi"/>
        </w:rPr>
        <w:t>N/A</w:t>
      </w:r>
    </w:p>
    <w:p w14:paraId="04C56598" w14:textId="1E4B2616" w:rsidR="00CE6479" w:rsidRPr="00012EFA" w:rsidRDefault="00CE6479" w:rsidP="000E1F27">
      <w:pPr>
        <w:spacing w:after="60"/>
        <w:rPr>
          <w:rFonts w:ascii="Calibri" w:hAnsi="Calibri" w:cstheme="minorHAnsi"/>
          <w:lang w:eastAsia="zh-TW" w:bidi="en-US"/>
        </w:rPr>
      </w:pPr>
      <w:r w:rsidRPr="00012EFA">
        <w:rPr>
          <w:rFonts w:ascii="Calibri" w:hAnsi="Calibri" w:cstheme="minorHAnsi"/>
          <w:b/>
          <w:lang w:eastAsia="zh-TW" w:bidi="en-US"/>
        </w:rPr>
        <w:t>Sunset review</w:t>
      </w:r>
      <w:r w:rsidR="004E41BA" w:rsidRPr="00012EFA">
        <w:rPr>
          <w:rFonts w:ascii="Calibri" w:hAnsi="Calibri" w:cstheme="minorHAnsi"/>
          <w:b/>
          <w:lang w:eastAsia="zh-TW" w:bidi="en-US"/>
        </w:rPr>
        <w:t xml:space="preserve"> date:</w:t>
      </w:r>
      <w:r w:rsidRPr="00012EFA">
        <w:rPr>
          <w:rFonts w:ascii="Calibri" w:hAnsi="Calibri" w:cstheme="minorHAnsi"/>
          <w:b/>
          <w:lang w:eastAsia="zh-TW" w:bidi="en-US"/>
        </w:rPr>
        <w:t xml:space="preserve"> </w:t>
      </w:r>
      <w:r w:rsidR="00EC5A8B" w:rsidRPr="00012EFA">
        <w:rPr>
          <w:rFonts w:ascii="Calibri" w:hAnsi="Calibri" w:cs="Arial"/>
          <w:szCs w:val="24"/>
          <w:lang w:bidi="en-US"/>
        </w:rPr>
        <w:t>5 years from Effective date</w:t>
      </w:r>
    </w:p>
    <w:p w14:paraId="23D7251A" w14:textId="77777777" w:rsidR="00F935E8" w:rsidRPr="00012EFA" w:rsidRDefault="00CE6479" w:rsidP="000E1F27">
      <w:pPr>
        <w:pStyle w:val="InfoBlock"/>
        <w:rPr>
          <w:rFonts w:ascii="Calibri" w:hAnsi="Calibri"/>
        </w:rPr>
      </w:pPr>
      <w:r w:rsidRPr="00012EFA">
        <w:rPr>
          <w:rFonts w:ascii="Calibri" w:hAnsi="Calibri" w:cstheme="minorHAnsi"/>
          <w:b/>
          <w:sz w:val="22"/>
          <w:szCs w:val="22"/>
          <w:lang w:eastAsia="zh-TW"/>
        </w:rPr>
        <w:t>Approved by</w:t>
      </w:r>
      <w:r w:rsidRPr="00012EFA">
        <w:rPr>
          <w:rFonts w:ascii="Calibri" w:hAnsi="Calibri" w:cstheme="minorHAnsi"/>
          <w:sz w:val="22"/>
          <w:szCs w:val="22"/>
          <w:lang w:eastAsia="zh-TW"/>
        </w:rPr>
        <w:t xml:space="preserve">: </w:t>
      </w:r>
      <w:r w:rsidR="00F35E2E" w:rsidRPr="00012EFA">
        <w:rPr>
          <w:rFonts w:ascii="Calibri" w:hAnsi="Calibri" w:cstheme="minorHAnsi"/>
          <w:sz w:val="22"/>
          <w:szCs w:val="22"/>
          <w:lang w:eastAsia="zh-TW"/>
        </w:rPr>
        <w:t>_______________________________________</w:t>
      </w:r>
      <w:r w:rsidR="00964413" w:rsidRPr="00012EFA">
        <w:rPr>
          <w:rFonts w:ascii="Calibri" w:hAnsi="Calibri" w:cstheme="minorHAnsi"/>
          <w:sz w:val="22"/>
          <w:szCs w:val="22"/>
          <w:lang w:eastAsia="zh-TW"/>
        </w:rPr>
        <w:t>Chris Liu</w:t>
      </w:r>
      <w:r w:rsidR="00F01EB6" w:rsidRPr="00012EFA">
        <w:rPr>
          <w:rFonts w:ascii="Calibri" w:hAnsi="Calibri" w:cstheme="minorHAnsi"/>
          <w:sz w:val="22"/>
          <w:szCs w:val="22"/>
        </w:rPr>
        <w:t>, Director</w:t>
      </w:r>
    </w:p>
    <w:p w14:paraId="0FB728B8" w14:textId="77777777" w:rsidR="00CE6479" w:rsidRPr="00012EFA" w:rsidRDefault="00B17253" w:rsidP="00295C76">
      <w:pPr>
        <w:pStyle w:val="Heading1"/>
        <w:rPr>
          <w:rFonts w:ascii="Calibri" w:hAnsi="Calibri"/>
        </w:rPr>
      </w:pPr>
      <w:r w:rsidRPr="00012EFA">
        <w:rPr>
          <w:rFonts w:ascii="Calibri" w:hAnsi="Calibri"/>
        </w:rPr>
        <w:t>Reason for Policy</w:t>
      </w:r>
    </w:p>
    <w:p w14:paraId="5CFE943B" w14:textId="77777777" w:rsidR="00AE7A2A" w:rsidRPr="00012EFA" w:rsidRDefault="00AE7A2A" w:rsidP="00AE7A2A">
      <w:pPr>
        <w:autoSpaceDE w:val="0"/>
        <w:autoSpaceDN w:val="0"/>
        <w:adjustRightInd w:val="0"/>
        <w:spacing w:after="0" w:line="240" w:lineRule="auto"/>
        <w:rPr>
          <w:rFonts w:ascii="Calibri" w:hAnsi="Calibri" w:cstheme="minorHAnsi"/>
        </w:rPr>
      </w:pPr>
    </w:p>
    <w:p w14:paraId="2D89908D" w14:textId="3F0A3F74" w:rsidR="00AE7A2A" w:rsidRPr="00012EFA" w:rsidRDefault="00AE7A2A" w:rsidP="00AE7A2A">
      <w:pPr>
        <w:autoSpaceDE w:val="0"/>
        <w:autoSpaceDN w:val="0"/>
        <w:adjustRightInd w:val="0"/>
        <w:spacing w:after="0" w:line="240" w:lineRule="auto"/>
        <w:rPr>
          <w:rFonts w:ascii="Calibri" w:hAnsi="Calibri" w:cstheme="minorHAnsi"/>
        </w:rPr>
      </w:pPr>
      <w:r w:rsidRPr="00012EFA">
        <w:rPr>
          <w:rFonts w:ascii="Calibri" w:hAnsi="Calibri" w:cstheme="minorHAnsi"/>
        </w:rPr>
        <w:t xml:space="preserve">This policy establishes the </w:t>
      </w:r>
      <w:r w:rsidR="002106E8" w:rsidRPr="00012EFA">
        <w:rPr>
          <w:rFonts w:ascii="Calibri" w:hAnsi="Calibri" w:cstheme="minorHAnsi"/>
        </w:rPr>
        <w:t>requirements for the use of bid, protest, and performanc</w:t>
      </w:r>
      <w:r w:rsidR="00466403" w:rsidRPr="00012EFA">
        <w:rPr>
          <w:rFonts w:ascii="Calibri" w:hAnsi="Calibri" w:cstheme="minorHAnsi"/>
        </w:rPr>
        <w:t>e bonds in competitive procurem</w:t>
      </w:r>
      <w:r w:rsidR="002106E8" w:rsidRPr="00012EFA">
        <w:rPr>
          <w:rFonts w:ascii="Calibri" w:hAnsi="Calibri" w:cstheme="minorHAnsi"/>
        </w:rPr>
        <w:t>ent</w:t>
      </w:r>
      <w:r w:rsidR="00466403" w:rsidRPr="00012EFA">
        <w:rPr>
          <w:rFonts w:ascii="Calibri" w:hAnsi="Calibri" w:cstheme="minorHAnsi"/>
        </w:rPr>
        <w:t>s</w:t>
      </w:r>
      <w:r w:rsidR="002106E8" w:rsidRPr="00012EFA">
        <w:rPr>
          <w:rFonts w:ascii="Calibri" w:hAnsi="Calibri" w:cstheme="minorHAnsi"/>
        </w:rPr>
        <w:t xml:space="preserve"> </w:t>
      </w:r>
      <w:r w:rsidRPr="00012EFA">
        <w:rPr>
          <w:rFonts w:ascii="Calibri" w:hAnsi="Calibri" w:cstheme="minorHAnsi"/>
        </w:rPr>
        <w:t xml:space="preserve">for goods and services under </w:t>
      </w:r>
      <w:r w:rsidR="00466403" w:rsidRPr="00012EFA">
        <w:rPr>
          <w:rFonts w:ascii="Calibri" w:hAnsi="Calibri" w:cstheme="minorHAnsi"/>
        </w:rPr>
        <w:t xml:space="preserve">Chapter 39.26 </w:t>
      </w:r>
      <w:r w:rsidR="00466403" w:rsidRPr="00012EFA">
        <w:rPr>
          <w:rFonts w:ascii="Calibri" w:hAnsi="Calibri"/>
        </w:rPr>
        <w:t>RCW.</w:t>
      </w:r>
    </w:p>
    <w:p w14:paraId="117B2C7E" w14:textId="77777777" w:rsidR="0075761B" w:rsidRPr="00295C76" w:rsidRDefault="0075761B" w:rsidP="00295C76">
      <w:pPr>
        <w:pStyle w:val="Heading1"/>
      </w:pPr>
      <w:r w:rsidRPr="00295C76">
        <w:t>Policy</w:t>
      </w:r>
    </w:p>
    <w:p w14:paraId="3D66AB40" w14:textId="3C955114" w:rsidR="00AE7A2A" w:rsidRPr="0094102C" w:rsidRDefault="00466403" w:rsidP="00AE7A2A">
      <w:pPr>
        <w:pStyle w:val="NoSpacing"/>
        <w:numPr>
          <w:ilvl w:val="0"/>
          <w:numId w:val="7"/>
        </w:numPr>
        <w:spacing w:before="120"/>
        <w:jc w:val="both"/>
        <w:rPr>
          <w:rFonts w:asciiTheme="minorHAnsi" w:hAnsiTheme="minorHAnsi" w:cstheme="minorHAnsi"/>
          <w:sz w:val="22"/>
          <w:szCs w:val="22"/>
        </w:rPr>
      </w:pPr>
      <w:r w:rsidRPr="00466403">
        <w:rPr>
          <w:rFonts w:asciiTheme="minorHAnsi" w:hAnsiTheme="minorHAnsi" w:cstheme="minorHAnsi"/>
          <w:b/>
          <w:sz w:val="22"/>
          <w:szCs w:val="22"/>
        </w:rPr>
        <w:t>Agency Discretion</w:t>
      </w:r>
      <w:r w:rsidR="00AE7A2A" w:rsidRPr="0094102C">
        <w:rPr>
          <w:rFonts w:asciiTheme="minorHAnsi" w:hAnsiTheme="minorHAnsi" w:cstheme="minorHAnsi"/>
          <w:sz w:val="22"/>
          <w:szCs w:val="22"/>
        </w:rPr>
        <w:t>:</w:t>
      </w:r>
    </w:p>
    <w:p w14:paraId="2E094D09" w14:textId="57181C60" w:rsidR="001F5DDD" w:rsidRPr="001F5DDD" w:rsidRDefault="00466403" w:rsidP="001F5DDD">
      <w:pPr>
        <w:pStyle w:val="NoSpacing"/>
        <w:numPr>
          <w:ilvl w:val="1"/>
          <w:numId w:val="7"/>
        </w:numPr>
        <w:spacing w:before="120"/>
        <w:jc w:val="both"/>
        <w:rPr>
          <w:rFonts w:asciiTheme="minorHAnsi" w:hAnsiTheme="minorHAnsi" w:cstheme="minorHAnsi"/>
          <w:sz w:val="22"/>
          <w:szCs w:val="22"/>
        </w:rPr>
      </w:pPr>
      <w:r>
        <w:rPr>
          <w:rFonts w:asciiTheme="minorHAnsi" w:hAnsiTheme="minorHAnsi" w:cstheme="minorHAnsi"/>
          <w:sz w:val="22"/>
          <w:szCs w:val="22"/>
        </w:rPr>
        <w:t>Procuring agencies may require bidders to provide a bid or protest bond.</w:t>
      </w:r>
    </w:p>
    <w:p w14:paraId="1A40A1B1" w14:textId="77777777" w:rsidR="001F5DDD" w:rsidRPr="001F5DDD" w:rsidRDefault="001F5DDD" w:rsidP="001F5DDD">
      <w:pPr>
        <w:pStyle w:val="NoSpacing"/>
        <w:ind w:left="1440"/>
        <w:rPr>
          <w:rFonts w:ascii="Calibri" w:hAnsi="Calibri" w:cstheme="minorHAnsi"/>
          <w:sz w:val="22"/>
          <w:szCs w:val="22"/>
        </w:rPr>
      </w:pPr>
    </w:p>
    <w:p w14:paraId="35DD20CC" w14:textId="3C87D5DF" w:rsidR="001F5DDD" w:rsidRPr="001F5DDD" w:rsidRDefault="001F5DDD" w:rsidP="001F5DDD">
      <w:pPr>
        <w:pStyle w:val="NoSpacing"/>
        <w:numPr>
          <w:ilvl w:val="0"/>
          <w:numId w:val="14"/>
        </w:numPr>
        <w:ind w:left="1440" w:right="720"/>
        <w:rPr>
          <w:rFonts w:ascii="Calibri" w:hAnsi="Calibri" w:cstheme="minorHAnsi"/>
          <w:sz w:val="22"/>
          <w:szCs w:val="22"/>
        </w:rPr>
      </w:pPr>
      <w:r w:rsidRPr="001F5DDD">
        <w:rPr>
          <w:rFonts w:ascii="Calibri" w:hAnsi="Calibri"/>
          <w:b/>
          <w:sz w:val="22"/>
        </w:rPr>
        <w:t>Bid Bond</w:t>
      </w:r>
      <w:r w:rsidRPr="001F5DDD">
        <w:rPr>
          <w:rFonts w:ascii="Calibri" w:hAnsi="Calibri"/>
          <w:sz w:val="22"/>
        </w:rPr>
        <w:t>:  A type of surety agreement, accompanied by a monetary commitment, by which a third party (the surety) accepts liability and guarantees that the bidder will not withdraw the bidder’s bid and, if the contract is awarded to the bonded bidder, the bidder will accept the contract as bid within the stipulated timeframe as specified in the competitive solicitation, or else the surety will pay the bid bond to the procuring Agency.  A bid bond is designed to insure good faith and firm bids for a period stated in the competitive solicitation.</w:t>
      </w:r>
    </w:p>
    <w:p w14:paraId="4224AC4B" w14:textId="77777777" w:rsidR="001F5DDD" w:rsidRPr="001F5DDD" w:rsidRDefault="001F5DDD" w:rsidP="001F5DDD">
      <w:pPr>
        <w:pStyle w:val="NoSpacing"/>
        <w:ind w:left="1440" w:right="720"/>
        <w:rPr>
          <w:rFonts w:ascii="Calibri" w:hAnsi="Calibri" w:cstheme="minorHAnsi"/>
          <w:sz w:val="22"/>
          <w:szCs w:val="22"/>
        </w:rPr>
      </w:pPr>
    </w:p>
    <w:p w14:paraId="7F3FF35E" w14:textId="3F9E5FB1" w:rsidR="001F5DDD" w:rsidRDefault="001F5DDD" w:rsidP="001F5DDD">
      <w:pPr>
        <w:pStyle w:val="NoSpacing"/>
        <w:numPr>
          <w:ilvl w:val="0"/>
          <w:numId w:val="14"/>
        </w:numPr>
        <w:ind w:left="1440" w:right="720"/>
        <w:rPr>
          <w:rFonts w:asciiTheme="minorHAnsi" w:hAnsiTheme="minorHAnsi" w:cstheme="minorHAnsi"/>
          <w:sz w:val="22"/>
          <w:szCs w:val="22"/>
        </w:rPr>
      </w:pPr>
      <w:r w:rsidRPr="001F5DDD">
        <w:rPr>
          <w:rFonts w:ascii="Calibri" w:hAnsi="Calibri"/>
          <w:b/>
          <w:sz w:val="22"/>
        </w:rPr>
        <w:t>Protest Bond</w:t>
      </w:r>
      <w:r w:rsidRPr="001F5DDD">
        <w:rPr>
          <w:rFonts w:ascii="Calibri" w:hAnsi="Calibri"/>
          <w:sz w:val="22"/>
        </w:rPr>
        <w:t>:  A type of surety agreement, accompanied by a monetary commitment, by which a third party (the surety) accepts liability and guarantees that the bidder will not file a frivolous protest, or else the surety will pay the litigation/protest bond to the procuring Agency.  A litigation/protest bond is designed to discourage disappointed bidders from imposing unnecessary costs on other bidders, procuring agencies, and taxpayers by filing a frivolous</w:t>
      </w:r>
      <w:r>
        <w:t xml:space="preserve"> protest.</w:t>
      </w:r>
    </w:p>
    <w:p w14:paraId="4B1CE1A5" w14:textId="77777777" w:rsidR="001F5DDD" w:rsidRDefault="001F5DDD" w:rsidP="001F5DDD">
      <w:pPr>
        <w:pStyle w:val="NoSpacing"/>
        <w:spacing w:before="120"/>
        <w:ind w:left="1080"/>
        <w:jc w:val="both"/>
        <w:rPr>
          <w:rFonts w:asciiTheme="minorHAnsi" w:hAnsiTheme="minorHAnsi" w:cstheme="minorHAnsi"/>
          <w:sz w:val="22"/>
          <w:szCs w:val="22"/>
        </w:rPr>
      </w:pPr>
    </w:p>
    <w:p w14:paraId="082BE5FF" w14:textId="3752CA8A" w:rsidR="001F5DDD" w:rsidRDefault="00466403" w:rsidP="001F5DDD">
      <w:pPr>
        <w:pStyle w:val="NoSpacing"/>
        <w:numPr>
          <w:ilvl w:val="1"/>
          <w:numId w:val="7"/>
        </w:numPr>
        <w:spacing w:before="120"/>
        <w:jc w:val="both"/>
        <w:rPr>
          <w:rFonts w:asciiTheme="minorHAnsi" w:hAnsiTheme="minorHAnsi" w:cstheme="minorHAnsi"/>
          <w:sz w:val="22"/>
          <w:szCs w:val="22"/>
        </w:rPr>
      </w:pPr>
      <w:r>
        <w:rPr>
          <w:rFonts w:asciiTheme="minorHAnsi" w:hAnsiTheme="minorHAnsi" w:cstheme="minorHAnsi"/>
          <w:sz w:val="22"/>
          <w:szCs w:val="22"/>
        </w:rPr>
        <w:lastRenderedPageBreak/>
        <w:t>Procuring agencies may require winning bidders to provide a performance bond.</w:t>
      </w:r>
      <w:r w:rsidR="001F5DDD" w:rsidRPr="001F5DDD">
        <w:rPr>
          <w:rFonts w:asciiTheme="minorHAnsi" w:hAnsiTheme="minorHAnsi" w:cstheme="minorHAnsi"/>
        </w:rPr>
        <w:t xml:space="preserve"> </w:t>
      </w:r>
    </w:p>
    <w:p w14:paraId="7804E0E3" w14:textId="77777777" w:rsidR="00012EFA" w:rsidRPr="00012EFA" w:rsidRDefault="00012EFA" w:rsidP="00012EFA">
      <w:pPr>
        <w:pStyle w:val="NoSpacing"/>
        <w:ind w:left="1440" w:right="720"/>
        <w:rPr>
          <w:rFonts w:ascii="Calibri" w:hAnsi="Calibri" w:cstheme="minorHAnsi"/>
          <w:sz w:val="22"/>
          <w:szCs w:val="22"/>
        </w:rPr>
      </w:pPr>
    </w:p>
    <w:p w14:paraId="0A71EA22" w14:textId="6E344F16" w:rsidR="00466403" w:rsidRPr="00012EFA" w:rsidRDefault="001F5DDD" w:rsidP="001F5DDD">
      <w:pPr>
        <w:pStyle w:val="NoSpacing"/>
        <w:numPr>
          <w:ilvl w:val="0"/>
          <w:numId w:val="15"/>
        </w:numPr>
        <w:ind w:left="1440" w:right="720"/>
        <w:rPr>
          <w:rFonts w:ascii="Calibri" w:hAnsi="Calibri" w:cstheme="minorHAnsi"/>
          <w:sz w:val="22"/>
          <w:szCs w:val="22"/>
        </w:rPr>
      </w:pPr>
      <w:r w:rsidRPr="001F5DDD">
        <w:rPr>
          <w:rFonts w:ascii="Calibri" w:hAnsi="Calibri"/>
          <w:b/>
          <w:sz w:val="22"/>
        </w:rPr>
        <w:t>Performance Bond</w:t>
      </w:r>
      <w:r w:rsidRPr="001F5DDD">
        <w:rPr>
          <w:rFonts w:ascii="Calibri" w:hAnsi="Calibri"/>
          <w:sz w:val="22"/>
        </w:rPr>
        <w:t>:  A type of surety agreement, accompanied by a monetary commitment, by which a third party (the surety) accepts liability and agrees to be liable to pay a sum (not exceeding a stated maximum) of money in the event that the contractor fails to faithfully perform the contract.  Performance bonds typically are for 100% of the contract price.  A performance bond is designed to insure faithful performance of the obligations imposed on the contractor by the contract.</w:t>
      </w:r>
    </w:p>
    <w:p w14:paraId="67CAEB1D" w14:textId="77777777" w:rsidR="00012EFA" w:rsidRPr="001F5DDD" w:rsidRDefault="00012EFA" w:rsidP="00012EFA">
      <w:pPr>
        <w:pStyle w:val="NoSpacing"/>
        <w:ind w:left="1440" w:right="720"/>
        <w:rPr>
          <w:rFonts w:ascii="Calibri" w:hAnsi="Calibri" w:cstheme="minorHAnsi"/>
          <w:sz w:val="22"/>
          <w:szCs w:val="22"/>
        </w:rPr>
      </w:pPr>
    </w:p>
    <w:p w14:paraId="178BCA84" w14:textId="0F725A0E" w:rsidR="00057348" w:rsidRPr="00057348" w:rsidRDefault="00057348" w:rsidP="00057348">
      <w:pPr>
        <w:pStyle w:val="NoSpacing"/>
        <w:numPr>
          <w:ilvl w:val="1"/>
          <w:numId w:val="7"/>
        </w:numPr>
        <w:spacing w:before="120"/>
        <w:jc w:val="both"/>
        <w:rPr>
          <w:rFonts w:asciiTheme="minorHAnsi" w:hAnsiTheme="minorHAnsi" w:cstheme="minorHAnsi"/>
          <w:sz w:val="22"/>
          <w:szCs w:val="22"/>
        </w:rPr>
      </w:pPr>
      <w:r>
        <w:rPr>
          <w:rFonts w:ascii="Calibri" w:hAnsi="Calibri"/>
          <w:sz w:val="22"/>
        </w:rPr>
        <w:t>Caution in deciding whether to use a bond</w:t>
      </w:r>
      <w:r w:rsidR="009F1FFE">
        <w:rPr>
          <w:rFonts w:ascii="Calibri" w:hAnsi="Calibri"/>
          <w:sz w:val="22"/>
        </w:rPr>
        <w:t xml:space="preserve"> is necessary. B</w:t>
      </w:r>
      <w:r w:rsidRPr="00E32EB4">
        <w:rPr>
          <w:rFonts w:ascii="Calibri" w:hAnsi="Calibri"/>
          <w:sz w:val="22"/>
        </w:rPr>
        <w:t xml:space="preserve">onding requirements may </w:t>
      </w:r>
      <w:r>
        <w:rPr>
          <w:rFonts w:ascii="Calibri" w:hAnsi="Calibri"/>
          <w:sz w:val="22"/>
        </w:rPr>
        <w:t xml:space="preserve">a) </w:t>
      </w:r>
      <w:r w:rsidRPr="00E32EB4">
        <w:rPr>
          <w:rFonts w:ascii="Calibri" w:hAnsi="Calibri"/>
          <w:sz w:val="22"/>
        </w:rPr>
        <w:t xml:space="preserve">present unnecessary impediments to open competition, </w:t>
      </w:r>
      <w:r>
        <w:rPr>
          <w:rFonts w:ascii="Calibri" w:hAnsi="Calibri"/>
          <w:sz w:val="22"/>
        </w:rPr>
        <w:t xml:space="preserve">b) </w:t>
      </w:r>
      <w:r w:rsidRPr="00E32EB4">
        <w:rPr>
          <w:rFonts w:ascii="Calibri" w:hAnsi="Calibri"/>
          <w:sz w:val="22"/>
        </w:rPr>
        <w:t xml:space="preserve">restrict the number of available vendors who can bid </w:t>
      </w:r>
      <w:r>
        <w:rPr>
          <w:rFonts w:ascii="Calibri" w:hAnsi="Calibri"/>
          <w:sz w:val="22"/>
        </w:rPr>
        <w:t>on c</w:t>
      </w:r>
      <w:r w:rsidRPr="00E32EB4">
        <w:rPr>
          <w:rFonts w:ascii="Calibri" w:hAnsi="Calibri"/>
          <w:sz w:val="22"/>
        </w:rPr>
        <w:t>on</w:t>
      </w:r>
      <w:r>
        <w:rPr>
          <w:rFonts w:ascii="Calibri" w:hAnsi="Calibri"/>
          <w:sz w:val="22"/>
        </w:rPr>
        <w:t xml:space="preserve">tracts to provide goods and services for </w:t>
      </w:r>
      <w:r w:rsidRPr="00E32EB4">
        <w:rPr>
          <w:rFonts w:ascii="Calibri" w:hAnsi="Calibri"/>
          <w:sz w:val="22"/>
        </w:rPr>
        <w:t xml:space="preserve">the State, and </w:t>
      </w:r>
      <w:r>
        <w:rPr>
          <w:rFonts w:ascii="Calibri" w:hAnsi="Calibri"/>
          <w:sz w:val="22"/>
        </w:rPr>
        <w:t xml:space="preserve">c) have a </w:t>
      </w:r>
      <w:r w:rsidRPr="00E32EB4">
        <w:rPr>
          <w:rFonts w:ascii="Calibri" w:hAnsi="Calibri"/>
          <w:sz w:val="22"/>
        </w:rPr>
        <w:t>disproportionate</w:t>
      </w:r>
      <w:r>
        <w:rPr>
          <w:rFonts w:ascii="Calibri" w:hAnsi="Calibri"/>
          <w:sz w:val="22"/>
        </w:rPr>
        <w:t xml:space="preserve"> adverse</w:t>
      </w:r>
      <w:r w:rsidRPr="00E32EB4">
        <w:rPr>
          <w:rFonts w:ascii="Calibri" w:hAnsi="Calibri"/>
          <w:sz w:val="22"/>
        </w:rPr>
        <w:t xml:space="preserve"> impact </w:t>
      </w:r>
      <w:r>
        <w:rPr>
          <w:rFonts w:ascii="Calibri" w:hAnsi="Calibri"/>
          <w:sz w:val="22"/>
        </w:rPr>
        <w:t xml:space="preserve">on </w:t>
      </w:r>
      <w:r w:rsidRPr="00E32EB4">
        <w:rPr>
          <w:rFonts w:ascii="Calibri" w:hAnsi="Calibri"/>
          <w:sz w:val="22"/>
        </w:rPr>
        <w:t xml:space="preserve">small businesses and start-up firms.  </w:t>
      </w:r>
    </w:p>
    <w:p w14:paraId="4B677FE7" w14:textId="1FD739D7" w:rsidR="00466403" w:rsidRDefault="003C1367" w:rsidP="00466403">
      <w:pPr>
        <w:pStyle w:val="NoSpacing"/>
        <w:numPr>
          <w:ilvl w:val="1"/>
          <w:numId w:val="7"/>
        </w:numPr>
        <w:spacing w:before="120"/>
        <w:jc w:val="both"/>
        <w:rPr>
          <w:rFonts w:asciiTheme="minorHAnsi" w:hAnsiTheme="minorHAnsi" w:cstheme="minorHAnsi"/>
          <w:sz w:val="22"/>
          <w:szCs w:val="22"/>
        </w:rPr>
      </w:pPr>
      <w:r>
        <w:rPr>
          <w:rFonts w:asciiTheme="minorHAnsi" w:hAnsiTheme="minorHAnsi" w:cstheme="minorHAnsi"/>
          <w:sz w:val="22"/>
          <w:szCs w:val="22"/>
        </w:rPr>
        <w:t>Before requiring a bond, procuring agencies must conduct a risk assessment to decide if a bond requirement is appropriate.</w:t>
      </w:r>
      <w:r w:rsidR="00F93133">
        <w:rPr>
          <w:rFonts w:asciiTheme="minorHAnsi" w:hAnsiTheme="minorHAnsi" w:cstheme="minorHAnsi"/>
          <w:sz w:val="22"/>
          <w:szCs w:val="22"/>
        </w:rPr>
        <w:t xml:space="preserve"> The </w:t>
      </w:r>
      <w:r w:rsidR="00F93133" w:rsidRPr="00E32EB4">
        <w:rPr>
          <w:rFonts w:ascii="Calibri" w:hAnsi="Calibri" w:cstheme="minorHAnsi"/>
          <w:sz w:val="22"/>
          <w:szCs w:val="22"/>
        </w:rPr>
        <w:t>risk assessment must balance separate considerations concerning the costs and benefits of requiring a bond</w:t>
      </w:r>
      <w:r w:rsidR="00F93133">
        <w:rPr>
          <w:rFonts w:ascii="Calibri" w:hAnsi="Calibri" w:cstheme="minorHAnsi"/>
          <w:sz w:val="22"/>
          <w:szCs w:val="22"/>
        </w:rPr>
        <w:t xml:space="preserve"> including:</w:t>
      </w:r>
    </w:p>
    <w:p w14:paraId="17D6F6C0" w14:textId="4A3AB3D9" w:rsidR="00F93133" w:rsidRPr="00F93133" w:rsidRDefault="009F1FFE" w:rsidP="00F93133">
      <w:pPr>
        <w:pStyle w:val="NoSpacing"/>
        <w:numPr>
          <w:ilvl w:val="0"/>
          <w:numId w:val="13"/>
        </w:numPr>
        <w:spacing w:before="120"/>
        <w:jc w:val="both"/>
        <w:rPr>
          <w:rFonts w:asciiTheme="minorHAnsi" w:hAnsiTheme="minorHAnsi" w:cstheme="minorHAnsi"/>
          <w:sz w:val="22"/>
          <w:szCs w:val="22"/>
        </w:rPr>
      </w:pPr>
      <w:r>
        <w:rPr>
          <w:rFonts w:ascii="Calibri" w:hAnsi="Calibri"/>
          <w:sz w:val="22"/>
        </w:rPr>
        <w:t>D</w:t>
      </w:r>
      <w:r w:rsidR="00F93133">
        <w:rPr>
          <w:rFonts w:ascii="Calibri" w:hAnsi="Calibri"/>
          <w:sz w:val="22"/>
        </w:rPr>
        <w:t xml:space="preserve">oes the bond hinder or further </w:t>
      </w:r>
      <w:r w:rsidR="00E32EB4" w:rsidRPr="00E32EB4">
        <w:rPr>
          <w:rFonts w:ascii="Calibri" w:hAnsi="Calibri"/>
          <w:sz w:val="22"/>
        </w:rPr>
        <w:t xml:space="preserve">the </w:t>
      </w:r>
      <w:r w:rsidR="00456D38">
        <w:rPr>
          <w:rFonts w:ascii="Calibri" w:hAnsi="Calibri"/>
          <w:sz w:val="22"/>
        </w:rPr>
        <w:t>Agency</w:t>
      </w:r>
      <w:r w:rsidR="00E32EB4" w:rsidRPr="00E32EB4">
        <w:rPr>
          <w:rFonts w:ascii="Calibri" w:hAnsi="Calibri"/>
          <w:sz w:val="22"/>
        </w:rPr>
        <w:t xml:space="preserve">’s operational need for </w:t>
      </w:r>
      <w:r w:rsidR="00E32EB4" w:rsidRPr="00F93133">
        <w:rPr>
          <w:rFonts w:ascii="Calibri" w:hAnsi="Calibri"/>
          <w:sz w:val="22"/>
          <w:u w:val="single"/>
        </w:rPr>
        <w:t>cost-effective and efficient procurement</w:t>
      </w:r>
      <w:r w:rsidR="00F93133">
        <w:rPr>
          <w:rFonts w:ascii="Calibri" w:hAnsi="Calibri"/>
          <w:sz w:val="22"/>
        </w:rPr>
        <w:t>;</w:t>
      </w:r>
    </w:p>
    <w:p w14:paraId="0F9E7D02" w14:textId="3AF0D38A" w:rsidR="00F93133" w:rsidRPr="00F93133" w:rsidRDefault="009F1FFE" w:rsidP="00F93133">
      <w:pPr>
        <w:pStyle w:val="NoSpacing"/>
        <w:numPr>
          <w:ilvl w:val="0"/>
          <w:numId w:val="13"/>
        </w:numPr>
        <w:spacing w:before="120"/>
        <w:jc w:val="both"/>
        <w:rPr>
          <w:rFonts w:asciiTheme="minorHAnsi" w:hAnsiTheme="minorHAnsi" w:cstheme="minorHAnsi"/>
          <w:sz w:val="22"/>
          <w:szCs w:val="22"/>
        </w:rPr>
      </w:pPr>
      <w:r>
        <w:rPr>
          <w:rFonts w:ascii="Calibri" w:hAnsi="Calibri"/>
          <w:sz w:val="22"/>
        </w:rPr>
        <w:t>D</w:t>
      </w:r>
      <w:r w:rsidR="00F93133">
        <w:rPr>
          <w:rFonts w:ascii="Calibri" w:hAnsi="Calibri"/>
          <w:sz w:val="22"/>
        </w:rPr>
        <w:t xml:space="preserve">oes the bond hinder or further </w:t>
      </w:r>
      <w:r w:rsidR="00E32EB4" w:rsidRPr="00E32EB4">
        <w:rPr>
          <w:rFonts w:ascii="Calibri" w:hAnsi="Calibri"/>
          <w:sz w:val="22"/>
        </w:rPr>
        <w:t xml:space="preserve">bidder participation </w:t>
      </w:r>
      <w:r w:rsidR="00F93133">
        <w:rPr>
          <w:rFonts w:ascii="Calibri" w:hAnsi="Calibri"/>
          <w:sz w:val="22"/>
        </w:rPr>
        <w:t xml:space="preserve">in </w:t>
      </w:r>
      <w:r w:rsidR="00E32EB4" w:rsidRPr="00F93133">
        <w:rPr>
          <w:rFonts w:ascii="Calibri" w:hAnsi="Calibri"/>
          <w:sz w:val="22"/>
          <w:u w:val="single"/>
        </w:rPr>
        <w:t>fair and open procurements</w:t>
      </w:r>
      <w:r w:rsidR="00F93133">
        <w:rPr>
          <w:rFonts w:ascii="Calibri" w:hAnsi="Calibri"/>
          <w:sz w:val="22"/>
        </w:rPr>
        <w:t xml:space="preserve">; </w:t>
      </w:r>
    </w:p>
    <w:p w14:paraId="1B79EA38" w14:textId="06BBE084" w:rsidR="00F93133" w:rsidRPr="00F93133" w:rsidRDefault="009F1FFE" w:rsidP="00F93133">
      <w:pPr>
        <w:pStyle w:val="NoSpacing"/>
        <w:numPr>
          <w:ilvl w:val="0"/>
          <w:numId w:val="13"/>
        </w:numPr>
        <w:spacing w:before="120"/>
        <w:jc w:val="both"/>
        <w:rPr>
          <w:rFonts w:asciiTheme="minorHAnsi" w:hAnsiTheme="minorHAnsi" w:cstheme="minorHAnsi"/>
          <w:sz w:val="22"/>
          <w:szCs w:val="22"/>
        </w:rPr>
      </w:pPr>
      <w:r>
        <w:rPr>
          <w:rFonts w:ascii="Calibri" w:hAnsi="Calibri"/>
          <w:sz w:val="22"/>
        </w:rPr>
        <w:t>D</w:t>
      </w:r>
      <w:r w:rsidR="00F93133">
        <w:rPr>
          <w:rFonts w:ascii="Calibri" w:hAnsi="Calibri"/>
          <w:sz w:val="22"/>
        </w:rPr>
        <w:t xml:space="preserve">oes the bond hinder or further </w:t>
      </w:r>
      <w:r w:rsidR="00E32EB4" w:rsidRPr="00057348">
        <w:rPr>
          <w:rFonts w:ascii="Calibri" w:hAnsi="Calibri"/>
          <w:sz w:val="22"/>
          <w:u w:val="single"/>
        </w:rPr>
        <w:t>state procurement priorities</w:t>
      </w:r>
      <w:r w:rsidR="00F93133">
        <w:rPr>
          <w:rFonts w:ascii="Calibri" w:hAnsi="Calibri"/>
          <w:sz w:val="22"/>
        </w:rPr>
        <w:t>;</w:t>
      </w:r>
      <w:r w:rsidR="00E32EB4" w:rsidRPr="00E32EB4">
        <w:rPr>
          <w:rFonts w:ascii="Calibri" w:hAnsi="Calibri"/>
          <w:sz w:val="22"/>
        </w:rPr>
        <w:t xml:space="preserve"> and </w:t>
      </w:r>
    </w:p>
    <w:p w14:paraId="412F94FF" w14:textId="2A1964D4" w:rsidR="00F93133" w:rsidRPr="00F93133" w:rsidRDefault="009F1FFE" w:rsidP="00F93133">
      <w:pPr>
        <w:pStyle w:val="NoSpacing"/>
        <w:numPr>
          <w:ilvl w:val="0"/>
          <w:numId w:val="13"/>
        </w:numPr>
        <w:spacing w:before="120"/>
        <w:jc w:val="both"/>
        <w:rPr>
          <w:rFonts w:asciiTheme="minorHAnsi" w:hAnsiTheme="minorHAnsi" w:cstheme="minorHAnsi"/>
          <w:sz w:val="22"/>
          <w:szCs w:val="22"/>
        </w:rPr>
      </w:pPr>
      <w:r>
        <w:rPr>
          <w:rFonts w:ascii="Calibri" w:hAnsi="Calibri"/>
          <w:sz w:val="22"/>
        </w:rPr>
        <w:t>D</w:t>
      </w:r>
      <w:r w:rsidR="00F93133">
        <w:rPr>
          <w:rFonts w:ascii="Calibri" w:hAnsi="Calibri"/>
          <w:sz w:val="22"/>
        </w:rPr>
        <w:t xml:space="preserve">oes the bond hinder or further </w:t>
      </w:r>
      <w:r w:rsidR="00E32EB4" w:rsidRPr="00E32EB4">
        <w:rPr>
          <w:rFonts w:ascii="Calibri" w:hAnsi="Calibri"/>
          <w:sz w:val="22"/>
        </w:rPr>
        <w:t xml:space="preserve">meaningful </w:t>
      </w:r>
      <w:r w:rsidR="00E32EB4" w:rsidRPr="00057348">
        <w:rPr>
          <w:rFonts w:ascii="Calibri" w:hAnsi="Calibri"/>
          <w:sz w:val="22"/>
          <w:u w:val="single"/>
        </w:rPr>
        <w:t>opportunit</w:t>
      </w:r>
      <w:r w:rsidR="00F93133" w:rsidRPr="00057348">
        <w:rPr>
          <w:rFonts w:ascii="Calibri" w:hAnsi="Calibri"/>
          <w:sz w:val="22"/>
          <w:u w:val="single"/>
        </w:rPr>
        <w:t>ies</w:t>
      </w:r>
      <w:r w:rsidR="00E32EB4" w:rsidRPr="00E32EB4">
        <w:rPr>
          <w:rFonts w:ascii="Calibri" w:hAnsi="Calibri"/>
          <w:sz w:val="22"/>
        </w:rPr>
        <w:t xml:space="preserve"> for innovative businesses, including </w:t>
      </w:r>
      <w:r w:rsidR="00F93133">
        <w:rPr>
          <w:rFonts w:ascii="Calibri" w:hAnsi="Calibri"/>
          <w:sz w:val="22"/>
        </w:rPr>
        <w:t>s</w:t>
      </w:r>
      <w:r w:rsidR="00E32EB4" w:rsidRPr="00E32EB4">
        <w:rPr>
          <w:rFonts w:ascii="Calibri" w:hAnsi="Calibri"/>
          <w:sz w:val="22"/>
        </w:rPr>
        <w:t>mall businesses, to participate in state procurement opportunities</w:t>
      </w:r>
      <w:r w:rsidR="00F93133">
        <w:rPr>
          <w:rFonts w:ascii="Calibri" w:hAnsi="Calibri"/>
          <w:sz w:val="22"/>
        </w:rPr>
        <w:t>?</w:t>
      </w:r>
      <w:r w:rsidR="00E32EB4" w:rsidRPr="00E32EB4">
        <w:rPr>
          <w:rFonts w:ascii="Calibri" w:hAnsi="Calibri"/>
          <w:sz w:val="22"/>
        </w:rPr>
        <w:t xml:space="preserve">  </w:t>
      </w:r>
    </w:p>
    <w:p w14:paraId="68F45B51" w14:textId="6B6F9E88" w:rsidR="003C1367" w:rsidRPr="0094102C" w:rsidRDefault="00E32EB4" w:rsidP="00F93133">
      <w:pPr>
        <w:pStyle w:val="NoSpacing"/>
        <w:numPr>
          <w:ilvl w:val="1"/>
          <w:numId w:val="7"/>
        </w:numPr>
        <w:spacing w:before="120"/>
        <w:jc w:val="both"/>
        <w:rPr>
          <w:rFonts w:asciiTheme="minorHAnsi" w:hAnsiTheme="minorHAnsi" w:cstheme="minorHAnsi"/>
          <w:sz w:val="22"/>
          <w:szCs w:val="22"/>
        </w:rPr>
      </w:pPr>
      <w:r w:rsidRPr="00E32EB4">
        <w:rPr>
          <w:rFonts w:ascii="Calibri" w:hAnsi="Calibri"/>
          <w:sz w:val="22"/>
        </w:rPr>
        <w:t>Accordingly, in considering whether to require bonds, procuring agencies should evaluate alternative operational and contractual options to secure timely, faithful contractual performance.</w:t>
      </w:r>
      <w:r>
        <w:rPr>
          <w:rFonts w:ascii="Calibri" w:hAnsi="Calibri"/>
          <w:sz w:val="22"/>
        </w:rPr>
        <w:t xml:space="preserve"> </w:t>
      </w:r>
    </w:p>
    <w:p w14:paraId="5AD8C835" w14:textId="0F4C977F" w:rsidR="00AE7A2A" w:rsidRPr="00E32EB4" w:rsidRDefault="00E32EB4" w:rsidP="00AE7A2A">
      <w:pPr>
        <w:pStyle w:val="NoSpacing"/>
        <w:numPr>
          <w:ilvl w:val="0"/>
          <w:numId w:val="7"/>
        </w:numPr>
        <w:spacing w:before="120"/>
        <w:jc w:val="both"/>
        <w:rPr>
          <w:rFonts w:asciiTheme="minorHAnsi" w:hAnsiTheme="minorHAnsi" w:cstheme="minorHAnsi"/>
          <w:b/>
          <w:sz w:val="22"/>
          <w:szCs w:val="22"/>
        </w:rPr>
      </w:pPr>
      <w:r>
        <w:rPr>
          <w:rFonts w:asciiTheme="minorHAnsi" w:hAnsiTheme="minorHAnsi" w:cstheme="minorHAnsi"/>
          <w:b/>
          <w:sz w:val="22"/>
          <w:szCs w:val="22"/>
        </w:rPr>
        <w:t>Bid Bonds</w:t>
      </w:r>
    </w:p>
    <w:p w14:paraId="632DD822" w14:textId="5F8043ED" w:rsidR="009F1FFE" w:rsidRDefault="009F1FFE" w:rsidP="00E32EB4">
      <w:pPr>
        <w:pStyle w:val="ListParagraph"/>
        <w:numPr>
          <w:ilvl w:val="1"/>
          <w:numId w:val="7"/>
        </w:numPr>
        <w:spacing w:before="120" w:after="0" w:line="240" w:lineRule="auto"/>
        <w:contextualSpacing w:val="0"/>
      </w:pPr>
      <w:r w:rsidRPr="009F1FFE">
        <w:rPr>
          <w:u w:val="single"/>
        </w:rPr>
        <w:t>Inclusion in Solicitation</w:t>
      </w:r>
      <w:r>
        <w:t xml:space="preserve"> </w:t>
      </w:r>
      <w:r w:rsidR="00E32EB4">
        <w:t xml:space="preserve">If the procuring </w:t>
      </w:r>
      <w:r w:rsidR="00456D38">
        <w:t>Agency</w:t>
      </w:r>
      <w:r w:rsidR="00E32EB4">
        <w:t xml:space="preserve"> requires a bid bond, the competitive solicitation must include a </w:t>
      </w:r>
      <w:r w:rsidR="00E32EB4" w:rsidRPr="009F1FFE">
        <w:rPr>
          <w:u w:val="single"/>
        </w:rPr>
        <w:t>specific requirement</w:t>
      </w:r>
      <w:r w:rsidR="00E32EB4">
        <w:t xml:space="preserve"> for bidders to submit, as a responsive element, a bid bond.  </w:t>
      </w:r>
    </w:p>
    <w:p w14:paraId="178551EC" w14:textId="5506BDFC" w:rsidR="009F1FFE" w:rsidRDefault="009F1FFE" w:rsidP="00E32EB4">
      <w:pPr>
        <w:pStyle w:val="ListParagraph"/>
        <w:numPr>
          <w:ilvl w:val="1"/>
          <w:numId w:val="7"/>
        </w:numPr>
        <w:spacing w:before="120" w:after="0" w:line="240" w:lineRule="auto"/>
        <w:contextualSpacing w:val="0"/>
      </w:pPr>
      <w:r>
        <w:rPr>
          <w:u w:val="single"/>
        </w:rPr>
        <w:t>Time P</w:t>
      </w:r>
      <w:r w:rsidRPr="009F1FFE">
        <w:rPr>
          <w:u w:val="single"/>
        </w:rPr>
        <w:t>eriod</w:t>
      </w:r>
      <w:r>
        <w:t xml:space="preserve"> </w:t>
      </w:r>
      <w:r w:rsidR="00E32EB4" w:rsidRPr="009F1FFE">
        <w:t>The</w:t>
      </w:r>
      <w:r w:rsidR="00E32EB4">
        <w:t xml:space="preserve"> competitive solicitation must specify the time period in which the bidder, if awarded, must execute the contract or forfeit the bid bond to the procuring </w:t>
      </w:r>
      <w:r w:rsidR="00456D38">
        <w:t>Agency</w:t>
      </w:r>
      <w:r w:rsidR="00E32EB4">
        <w:t xml:space="preserve">.  </w:t>
      </w:r>
    </w:p>
    <w:p w14:paraId="16EE87A6" w14:textId="421F1CE0" w:rsidR="00E32EB4" w:rsidRDefault="009F1FFE" w:rsidP="00E32EB4">
      <w:pPr>
        <w:pStyle w:val="ListParagraph"/>
        <w:numPr>
          <w:ilvl w:val="1"/>
          <w:numId w:val="7"/>
        </w:numPr>
        <w:spacing w:before="120" w:after="0" w:line="240" w:lineRule="auto"/>
        <w:contextualSpacing w:val="0"/>
      </w:pPr>
      <w:r w:rsidRPr="009F1FFE">
        <w:rPr>
          <w:u w:val="single"/>
        </w:rPr>
        <w:t>Posting</w:t>
      </w:r>
      <w:r>
        <w:t xml:space="preserve"> </w:t>
      </w:r>
      <w:r w:rsidR="00E32EB4" w:rsidRPr="009F1FFE">
        <w:t>If</w:t>
      </w:r>
      <w:r w:rsidR="00E32EB4">
        <w:t xml:space="preserve"> such a bond is required, the competitive solicitation must be posted for a minimum of twenty-one (21) calendar days before bids are due.</w:t>
      </w:r>
    </w:p>
    <w:p w14:paraId="57D69CC2" w14:textId="3628A54E" w:rsidR="00E32EB4" w:rsidRDefault="009F1FFE" w:rsidP="00E32EB4">
      <w:pPr>
        <w:pStyle w:val="ListParagraph"/>
        <w:numPr>
          <w:ilvl w:val="1"/>
          <w:numId w:val="7"/>
        </w:numPr>
        <w:spacing w:before="120" w:after="0" w:line="240" w:lineRule="auto"/>
        <w:contextualSpacing w:val="0"/>
      </w:pPr>
      <w:r w:rsidRPr="009F1FFE">
        <w:rPr>
          <w:u w:val="single"/>
        </w:rPr>
        <w:t>Amount</w:t>
      </w:r>
      <w:r>
        <w:t xml:space="preserve"> </w:t>
      </w:r>
      <w:r w:rsidR="00E32EB4">
        <w:t xml:space="preserve">The amount of any required bid bond must be stated in the competitive solicitation either as a specified amount in dollars or as a percentage of the bidder’s total bid, in dollars.  Because bid bonds limit bidder participation and because the procuring </w:t>
      </w:r>
      <w:r w:rsidR="00456D38">
        <w:t>Agency</w:t>
      </w:r>
      <w:r w:rsidR="00E32EB4">
        <w:t xml:space="preserve">’s risk is limited (i.e., if the lowest responsive, responsible awarded bidder fails to enter into the contract and/or fails to timely provide a performance bond, if required, the procuring </w:t>
      </w:r>
      <w:r w:rsidR="00456D38">
        <w:t>Agency</w:t>
      </w:r>
      <w:r w:rsidR="00E32EB4">
        <w:t xml:space="preserve"> may contract with the next eligible bidder), in no event shall a competitive solicitation require a bid bond that exceeds ten percent (10%) of the bidder’s bid or the stated contract value.</w:t>
      </w:r>
    </w:p>
    <w:p w14:paraId="7EB8B481" w14:textId="386E1374" w:rsidR="009F1FFE" w:rsidRDefault="009F1FFE" w:rsidP="00E32EB4">
      <w:pPr>
        <w:pStyle w:val="ListParagraph"/>
        <w:numPr>
          <w:ilvl w:val="1"/>
          <w:numId w:val="7"/>
        </w:numPr>
        <w:spacing w:before="120" w:after="0" w:line="240" w:lineRule="auto"/>
        <w:contextualSpacing w:val="0"/>
      </w:pPr>
      <w:r w:rsidRPr="009F1FFE">
        <w:rPr>
          <w:u w:val="single"/>
        </w:rPr>
        <w:t>Accompany the Bid</w:t>
      </w:r>
      <w:r>
        <w:t xml:space="preserve"> </w:t>
      </w:r>
      <w:r w:rsidR="00E32EB4">
        <w:t xml:space="preserve">If required, bid bonds must accompany the bid, reference the bid, and be made payable to the procuring </w:t>
      </w:r>
      <w:r w:rsidR="00456D38">
        <w:t>Agency</w:t>
      </w:r>
      <w:r w:rsidR="00E32EB4">
        <w:t xml:space="preserve">.  The bid bond must be irrevocable for the period of time set forth in the competitive solicitation.  </w:t>
      </w:r>
    </w:p>
    <w:p w14:paraId="5F4893D1" w14:textId="7FA25D7E" w:rsidR="00E32EB4" w:rsidRDefault="009F1FFE" w:rsidP="00E32EB4">
      <w:pPr>
        <w:pStyle w:val="ListParagraph"/>
        <w:numPr>
          <w:ilvl w:val="1"/>
          <w:numId w:val="7"/>
        </w:numPr>
        <w:spacing w:before="120" w:after="0" w:line="240" w:lineRule="auto"/>
        <w:contextualSpacing w:val="0"/>
      </w:pPr>
      <w:r w:rsidRPr="009F1FFE">
        <w:rPr>
          <w:u w:val="single"/>
        </w:rPr>
        <w:lastRenderedPageBreak/>
        <w:t>Rejection</w:t>
      </w:r>
      <w:r>
        <w:t xml:space="preserve"> </w:t>
      </w:r>
      <w:r w:rsidR="00E32EB4">
        <w:t>Bids submitted without a required bid bond must be rejected.</w:t>
      </w:r>
    </w:p>
    <w:p w14:paraId="7E5BB4DB" w14:textId="312A4B71" w:rsidR="00E32EB4" w:rsidRDefault="00B874D4" w:rsidP="00E32EB4">
      <w:pPr>
        <w:pStyle w:val="ListParagraph"/>
        <w:numPr>
          <w:ilvl w:val="1"/>
          <w:numId w:val="7"/>
        </w:numPr>
        <w:spacing w:before="120" w:after="0" w:line="240" w:lineRule="auto"/>
        <w:contextualSpacing w:val="0"/>
      </w:pPr>
      <w:r w:rsidRPr="00B874D4">
        <w:rPr>
          <w:u w:val="single"/>
        </w:rPr>
        <w:t>Forf</w:t>
      </w:r>
      <w:r>
        <w:rPr>
          <w:u w:val="single"/>
        </w:rPr>
        <w:t>e</w:t>
      </w:r>
      <w:r w:rsidRPr="00B874D4">
        <w:rPr>
          <w:u w:val="single"/>
        </w:rPr>
        <w:t>iture</w:t>
      </w:r>
      <w:r>
        <w:t xml:space="preserve"> </w:t>
      </w:r>
      <w:r w:rsidR="00E32EB4">
        <w:t xml:space="preserve">In the event the awarded bidder does not timely execute the contract or fails to timely provide a performance bond, if required, its bid bond shall be forfeited to and become the property of the procuring </w:t>
      </w:r>
      <w:r w:rsidR="00456D38">
        <w:t>Agency</w:t>
      </w:r>
      <w:r w:rsidR="00E32EB4">
        <w:t>.</w:t>
      </w:r>
    </w:p>
    <w:p w14:paraId="47ECC0DF" w14:textId="5BCB11A7" w:rsidR="00AE7A2A" w:rsidRPr="00E32EB4" w:rsidRDefault="00B874D4" w:rsidP="00E32EB4">
      <w:pPr>
        <w:pStyle w:val="ListParagraph"/>
        <w:numPr>
          <w:ilvl w:val="1"/>
          <w:numId w:val="7"/>
        </w:numPr>
        <w:spacing w:before="120" w:after="0" w:line="240" w:lineRule="auto"/>
        <w:contextualSpacing w:val="0"/>
      </w:pPr>
      <w:r w:rsidRPr="00B874D4">
        <w:rPr>
          <w:u w:val="single"/>
        </w:rPr>
        <w:t xml:space="preserve">Possession </w:t>
      </w:r>
      <w:r w:rsidR="00E32EB4">
        <w:t xml:space="preserve">The procuring </w:t>
      </w:r>
      <w:r w:rsidR="00456D38">
        <w:t>Agency</w:t>
      </w:r>
      <w:r w:rsidR="00E32EB4">
        <w:t xml:space="preserve"> shall hold the bid bonds.  The procuring </w:t>
      </w:r>
      <w:r w:rsidR="00456D38">
        <w:t>Agency</w:t>
      </w:r>
      <w:r w:rsidR="00E32EB4">
        <w:t xml:space="preserve"> must promptly return all bid bonds to all bidders no later than the date of contract execution.</w:t>
      </w:r>
    </w:p>
    <w:p w14:paraId="60B00F30" w14:textId="6ED0F884" w:rsidR="00AE7A2A" w:rsidRPr="00E32EB4" w:rsidRDefault="0011511B" w:rsidP="00AE7A2A">
      <w:pPr>
        <w:pStyle w:val="NoSpacing"/>
        <w:numPr>
          <w:ilvl w:val="0"/>
          <w:numId w:val="7"/>
        </w:numPr>
        <w:spacing w:before="120"/>
        <w:jc w:val="both"/>
        <w:rPr>
          <w:rFonts w:asciiTheme="minorHAnsi" w:hAnsiTheme="minorHAnsi" w:cstheme="minorHAnsi"/>
          <w:b/>
          <w:sz w:val="22"/>
          <w:szCs w:val="22"/>
        </w:rPr>
      </w:pPr>
      <w:r>
        <w:rPr>
          <w:rFonts w:asciiTheme="minorHAnsi" w:hAnsiTheme="minorHAnsi" w:cstheme="minorHAnsi"/>
          <w:b/>
          <w:sz w:val="22"/>
          <w:szCs w:val="22"/>
        </w:rPr>
        <w:t>Litigation/</w:t>
      </w:r>
      <w:r w:rsidR="00E32EB4">
        <w:rPr>
          <w:rFonts w:asciiTheme="minorHAnsi" w:hAnsiTheme="minorHAnsi" w:cstheme="minorHAnsi"/>
          <w:b/>
          <w:sz w:val="22"/>
          <w:szCs w:val="22"/>
        </w:rPr>
        <w:t>Protest Bonds</w:t>
      </w:r>
    </w:p>
    <w:p w14:paraId="7FC9DEC8" w14:textId="44428459" w:rsidR="00B874D4" w:rsidRDefault="00B874D4" w:rsidP="00E32EB4">
      <w:pPr>
        <w:pStyle w:val="ListParagraph"/>
        <w:numPr>
          <w:ilvl w:val="1"/>
          <w:numId w:val="7"/>
        </w:numPr>
        <w:spacing w:before="120" w:after="0" w:line="240" w:lineRule="auto"/>
        <w:contextualSpacing w:val="0"/>
      </w:pPr>
      <w:r w:rsidRPr="009F1FFE">
        <w:rPr>
          <w:u w:val="single"/>
        </w:rPr>
        <w:t>Inclusion in Solicitation</w:t>
      </w:r>
      <w:r>
        <w:t xml:space="preserve"> </w:t>
      </w:r>
      <w:r w:rsidR="00E32EB4">
        <w:t xml:space="preserve">If the procuring </w:t>
      </w:r>
      <w:r w:rsidR="00456D38">
        <w:t>Agency</w:t>
      </w:r>
      <w:r w:rsidR="00E32EB4">
        <w:t xml:space="preserve"> requires a litigation/protest bond, the competitive solicitation must include a specific requirement for bidders to submit, as a responsive element, a litigation/protest bond.  </w:t>
      </w:r>
    </w:p>
    <w:p w14:paraId="6B76B0AE" w14:textId="5AD7E6D0" w:rsidR="00E32EB4" w:rsidRDefault="00B874D4" w:rsidP="00E32EB4">
      <w:pPr>
        <w:pStyle w:val="ListParagraph"/>
        <w:numPr>
          <w:ilvl w:val="1"/>
          <w:numId w:val="7"/>
        </w:numPr>
        <w:spacing w:before="120" w:after="0" w:line="240" w:lineRule="auto"/>
        <w:contextualSpacing w:val="0"/>
      </w:pPr>
      <w:r>
        <w:rPr>
          <w:u w:val="single"/>
        </w:rPr>
        <w:t>Posting</w:t>
      </w:r>
      <w:r w:rsidRPr="00B874D4">
        <w:t xml:space="preserve"> </w:t>
      </w:r>
      <w:r w:rsidR="00E32EB4">
        <w:t>If such a bond is required, the competitive solicitation must be posted for a minimum of twenty-one (21) calendar days before bids are due.</w:t>
      </w:r>
    </w:p>
    <w:p w14:paraId="4364E5D1" w14:textId="496BAA5D" w:rsidR="00E32EB4" w:rsidRDefault="00B874D4" w:rsidP="00E32EB4">
      <w:pPr>
        <w:pStyle w:val="ListParagraph"/>
        <w:numPr>
          <w:ilvl w:val="1"/>
          <w:numId w:val="7"/>
        </w:numPr>
        <w:spacing w:before="120" w:after="0" w:line="240" w:lineRule="auto"/>
        <w:contextualSpacing w:val="0"/>
      </w:pPr>
      <w:r w:rsidRPr="00B874D4">
        <w:rPr>
          <w:u w:val="single"/>
        </w:rPr>
        <w:t>Amount</w:t>
      </w:r>
      <w:r>
        <w:t xml:space="preserve"> </w:t>
      </w:r>
      <w:r w:rsidR="00E32EB4">
        <w:t>The amount of any required litigation/protest bond must be stated in the competitive solicitation as a specified amount, in dollars.  In no event shall a competitive solicitation require a litigation/protest bond that exceeds two percent (2%) of the stated contract value.</w:t>
      </w:r>
    </w:p>
    <w:p w14:paraId="3B62918A" w14:textId="04A9D194" w:rsidR="00B874D4" w:rsidRDefault="00B874D4" w:rsidP="00E32EB4">
      <w:pPr>
        <w:pStyle w:val="ListParagraph"/>
        <w:numPr>
          <w:ilvl w:val="1"/>
          <w:numId w:val="7"/>
        </w:numPr>
        <w:spacing w:before="120" w:after="0" w:line="240" w:lineRule="auto"/>
        <w:contextualSpacing w:val="0"/>
      </w:pPr>
      <w:r w:rsidRPr="009F1FFE">
        <w:rPr>
          <w:u w:val="single"/>
        </w:rPr>
        <w:t>Accompany the Bid</w:t>
      </w:r>
      <w:r>
        <w:t xml:space="preserve"> </w:t>
      </w:r>
      <w:r w:rsidR="00E32EB4">
        <w:t xml:space="preserve">If required, the litigation/protest bond must accompany the bid, reference the competitive procurement, and be made payable to the procuring </w:t>
      </w:r>
      <w:r w:rsidR="00456D38">
        <w:t>Agency</w:t>
      </w:r>
      <w:r w:rsidR="00E32EB4">
        <w:t xml:space="preserve">.  The litigation/protest bid bond must be irrevocable for the period of time set forth in the competitive solicitation.  </w:t>
      </w:r>
    </w:p>
    <w:p w14:paraId="10D15E44" w14:textId="4F763A24" w:rsidR="00E32EB4" w:rsidRDefault="00B874D4" w:rsidP="00E32EB4">
      <w:pPr>
        <w:pStyle w:val="ListParagraph"/>
        <w:numPr>
          <w:ilvl w:val="1"/>
          <w:numId w:val="7"/>
        </w:numPr>
        <w:spacing w:before="120" w:after="0" w:line="240" w:lineRule="auto"/>
        <w:contextualSpacing w:val="0"/>
      </w:pPr>
      <w:r w:rsidRPr="009F1FFE">
        <w:rPr>
          <w:u w:val="single"/>
        </w:rPr>
        <w:t>Rejection</w:t>
      </w:r>
      <w:r>
        <w:t xml:space="preserve"> </w:t>
      </w:r>
      <w:r w:rsidR="00E32EB4">
        <w:t>Bids submitted without a required litigation/protest bond must be rejected.</w:t>
      </w:r>
    </w:p>
    <w:p w14:paraId="41167222" w14:textId="5C2F5E83" w:rsidR="00E32EB4" w:rsidRDefault="00B874D4" w:rsidP="00E32EB4">
      <w:pPr>
        <w:pStyle w:val="ListParagraph"/>
        <w:numPr>
          <w:ilvl w:val="1"/>
          <w:numId w:val="7"/>
        </w:numPr>
        <w:spacing w:before="120" w:after="0" w:line="240" w:lineRule="auto"/>
        <w:contextualSpacing w:val="0"/>
      </w:pPr>
      <w:r w:rsidRPr="00B874D4">
        <w:rPr>
          <w:u w:val="single"/>
        </w:rPr>
        <w:t>Forfeiture</w:t>
      </w:r>
      <w:r>
        <w:t xml:space="preserve"> </w:t>
      </w:r>
      <w:r w:rsidR="00E32EB4">
        <w:t xml:space="preserve">Any bidder may protest a procurement decision for any valid basis.  If, however, a bidder files a frivolous protest (i.e., a protest that is not based on the criteria for procurement protest set forth in the competitive solicitation and, at a minimum, the Enterprise Procurement Policy for Complaints and Protests, DES-170-00), the bidder’s litigation/protest bond shall be forfeited to the procuring </w:t>
      </w:r>
      <w:r w:rsidR="00456D38">
        <w:t>Agency</w:t>
      </w:r>
      <w:r w:rsidR="00E32EB4">
        <w:t xml:space="preserve"> upon the </w:t>
      </w:r>
      <w:r w:rsidR="00456D38">
        <w:t>Agency</w:t>
      </w:r>
      <w:r w:rsidR="00E32EB4">
        <w:t>’s issuance of a protest decision finding that the bidder’s protest does not state a valid basis for protest.</w:t>
      </w:r>
    </w:p>
    <w:p w14:paraId="049D2441" w14:textId="58A3633A" w:rsidR="00E32EB4" w:rsidRPr="00E32EB4" w:rsidRDefault="00B874D4" w:rsidP="00E32EB4">
      <w:pPr>
        <w:pStyle w:val="ListParagraph"/>
        <w:numPr>
          <w:ilvl w:val="1"/>
          <w:numId w:val="7"/>
        </w:numPr>
        <w:spacing w:before="120" w:after="0" w:line="240" w:lineRule="auto"/>
        <w:contextualSpacing w:val="0"/>
      </w:pPr>
      <w:r w:rsidRPr="00B874D4">
        <w:rPr>
          <w:u w:val="single"/>
        </w:rPr>
        <w:t>Possession</w:t>
      </w:r>
      <w:r>
        <w:t xml:space="preserve"> </w:t>
      </w:r>
      <w:r w:rsidR="00E32EB4">
        <w:t xml:space="preserve">The procuring </w:t>
      </w:r>
      <w:r w:rsidR="00456D38">
        <w:t>Agency</w:t>
      </w:r>
      <w:r w:rsidR="00E32EB4">
        <w:t xml:space="preserve"> shall hold the litigation/protest bonds.  Unless forfeited as set forth herein, the procuring </w:t>
      </w:r>
      <w:r w:rsidR="00456D38">
        <w:t>Agency</w:t>
      </w:r>
      <w:r w:rsidR="00E32EB4">
        <w:t xml:space="preserve"> must promptly return all litigation/protest bonds to all bidders no later than the date of contract execution.</w:t>
      </w:r>
    </w:p>
    <w:p w14:paraId="5D439F05" w14:textId="32C61E58" w:rsidR="00AE7A2A" w:rsidRDefault="00E32EB4" w:rsidP="00AE7A2A">
      <w:pPr>
        <w:pStyle w:val="NoSpacing"/>
        <w:numPr>
          <w:ilvl w:val="0"/>
          <w:numId w:val="7"/>
        </w:numPr>
        <w:spacing w:before="120"/>
        <w:jc w:val="both"/>
        <w:rPr>
          <w:rFonts w:asciiTheme="minorHAnsi" w:hAnsiTheme="minorHAnsi" w:cstheme="minorHAnsi"/>
          <w:b/>
          <w:sz w:val="22"/>
          <w:szCs w:val="22"/>
        </w:rPr>
      </w:pPr>
      <w:r>
        <w:rPr>
          <w:rFonts w:asciiTheme="minorHAnsi" w:hAnsiTheme="minorHAnsi" w:cstheme="minorHAnsi"/>
          <w:b/>
          <w:sz w:val="22"/>
          <w:szCs w:val="22"/>
        </w:rPr>
        <w:t>Performance Bonds</w:t>
      </w:r>
    </w:p>
    <w:p w14:paraId="07DEA0DB" w14:textId="53C70803" w:rsidR="00B874D4" w:rsidRDefault="00B874D4" w:rsidP="00E32EB4">
      <w:pPr>
        <w:pStyle w:val="ListParagraph"/>
        <w:numPr>
          <w:ilvl w:val="1"/>
          <w:numId w:val="7"/>
        </w:numPr>
        <w:spacing w:before="120" w:after="0" w:line="240" w:lineRule="auto"/>
        <w:contextualSpacing w:val="0"/>
      </w:pPr>
      <w:r w:rsidRPr="009F1FFE">
        <w:rPr>
          <w:u w:val="single"/>
        </w:rPr>
        <w:t>Inclusion in Solicitation</w:t>
      </w:r>
      <w:r>
        <w:t xml:space="preserve"> </w:t>
      </w:r>
      <w:r w:rsidR="00E32EB4">
        <w:t xml:space="preserve">If the procuring </w:t>
      </w:r>
      <w:r w:rsidR="00456D38">
        <w:t>Agency</w:t>
      </w:r>
      <w:r w:rsidR="00E32EB4">
        <w:t xml:space="preserve"> requires a performance bond, the competitive solicitation must include a specific requirement that, if awarded, the bidder must timely provide a performance bond in the amount specified in</w:t>
      </w:r>
      <w:r w:rsidR="00B933E4">
        <w:t xml:space="preserve"> the competitive solicitation. </w:t>
      </w:r>
    </w:p>
    <w:p w14:paraId="5256205C" w14:textId="4DDB5DAA" w:rsidR="00E32EB4" w:rsidRDefault="00B874D4" w:rsidP="00E32EB4">
      <w:pPr>
        <w:pStyle w:val="ListParagraph"/>
        <w:numPr>
          <w:ilvl w:val="1"/>
          <w:numId w:val="7"/>
        </w:numPr>
        <w:spacing w:before="120" w:after="0" w:line="240" w:lineRule="auto"/>
        <w:contextualSpacing w:val="0"/>
      </w:pPr>
      <w:r>
        <w:rPr>
          <w:u w:val="single"/>
        </w:rPr>
        <w:t>Posting</w:t>
      </w:r>
      <w:r w:rsidRPr="00B874D4">
        <w:t xml:space="preserve"> </w:t>
      </w:r>
      <w:r w:rsidR="00E32EB4">
        <w:t>If such a bond is required, the competitive solicitation must be posted for a minimum of twenty-one (21) calendar days before bids are due.</w:t>
      </w:r>
    </w:p>
    <w:p w14:paraId="088D958D" w14:textId="77777777" w:rsidR="00B874D4" w:rsidRDefault="00B874D4" w:rsidP="00E32EB4">
      <w:pPr>
        <w:pStyle w:val="ListParagraph"/>
        <w:numPr>
          <w:ilvl w:val="1"/>
          <w:numId w:val="7"/>
        </w:numPr>
        <w:spacing w:before="120" w:after="0" w:line="240" w:lineRule="auto"/>
        <w:contextualSpacing w:val="0"/>
      </w:pPr>
      <w:r w:rsidRPr="00B874D4">
        <w:rPr>
          <w:u w:val="single"/>
        </w:rPr>
        <w:t>Proof of Ability</w:t>
      </w:r>
      <w:r>
        <w:t xml:space="preserve"> </w:t>
      </w:r>
      <w:r w:rsidR="00E32EB4">
        <w:t xml:space="preserve">If a performance bond is required, proof of ability to provide a performance bond must accompany the bid.  </w:t>
      </w:r>
    </w:p>
    <w:p w14:paraId="4D245DC9" w14:textId="4C90AA2D" w:rsidR="00E32EB4" w:rsidRDefault="00B874D4" w:rsidP="00E32EB4">
      <w:pPr>
        <w:pStyle w:val="ListParagraph"/>
        <w:numPr>
          <w:ilvl w:val="1"/>
          <w:numId w:val="7"/>
        </w:numPr>
        <w:spacing w:before="120" w:after="0" w:line="240" w:lineRule="auto"/>
        <w:contextualSpacing w:val="0"/>
      </w:pPr>
      <w:r>
        <w:rPr>
          <w:u w:val="single"/>
        </w:rPr>
        <w:t xml:space="preserve">Rejection </w:t>
      </w:r>
      <w:r w:rsidR="00E32EB4" w:rsidRPr="00C622AD">
        <w:t xml:space="preserve">Bids submitted without </w:t>
      </w:r>
      <w:r w:rsidR="00E32EB4">
        <w:t xml:space="preserve">such confirmation </w:t>
      </w:r>
      <w:r w:rsidR="00E32EB4" w:rsidRPr="00C622AD">
        <w:t>must be rejected.</w:t>
      </w:r>
    </w:p>
    <w:p w14:paraId="072EC53C" w14:textId="7D364122" w:rsidR="00E32EB4" w:rsidRDefault="00B874D4" w:rsidP="00E32EB4">
      <w:pPr>
        <w:pStyle w:val="ListParagraph"/>
        <w:numPr>
          <w:ilvl w:val="1"/>
          <w:numId w:val="7"/>
        </w:numPr>
        <w:spacing w:before="120" w:after="0" w:line="240" w:lineRule="auto"/>
        <w:contextualSpacing w:val="0"/>
      </w:pPr>
      <w:r w:rsidRPr="00B874D4">
        <w:rPr>
          <w:u w:val="single"/>
        </w:rPr>
        <w:t>Amount</w:t>
      </w:r>
      <w:r>
        <w:t xml:space="preserve"> </w:t>
      </w:r>
      <w:r w:rsidR="00E32EB4">
        <w:t xml:space="preserve">If required, the performance bond shall be in the amount of 100% of the bidder’s bid (the contract value) and, unless the procuring </w:t>
      </w:r>
      <w:r w:rsidR="00456D38">
        <w:t>Agency</w:t>
      </w:r>
      <w:r w:rsidR="00E32EB4">
        <w:t xml:space="preserve"> makes a written determination that it is in the procuring </w:t>
      </w:r>
      <w:r w:rsidR="00456D38">
        <w:t>Agency</w:t>
      </w:r>
      <w:r w:rsidR="00E32EB4">
        <w:t xml:space="preserve">’s best interest to grant an extension, the performance bond must be in the </w:t>
      </w:r>
      <w:r w:rsidR="00E32EB4">
        <w:lastRenderedPageBreak/>
        <w:t xml:space="preserve">possession of the procuring </w:t>
      </w:r>
      <w:r w:rsidR="00456D38">
        <w:t>Agency</w:t>
      </w:r>
      <w:r w:rsidR="00E32EB4">
        <w:t xml:space="preserve">, or its designee, at or before contract execution.  The performance bond must reference the contract and be payable to the procuring </w:t>
      </w:r>
      <w:r w:rsidR="00456D38">
        <w:t>Agency</w:t>
      </w:r>
      <w:r w:rsidR="00E32EB4">
        <w:t>.</w:t>
      </w:r>
    </w:p>
    <w:p w14:paraId="285140C7" w14:textId="69533248" w:rsidR="00E32EB4" w:rsidRDefault="00B874D4" w:rsidP="00E32EB4">
      <w:pPr>
        <w:pStyle w:val="ListParagraph"/>
        <w:numPr>
          <w:ilvl w:val="1"/>
          <w:numId w:val="7"/>
        </w:numPr>
        <w:spacing w:before="120" w:after="0" w:line="240" w:lineRule="auto"/>
        <w:contextualSpacing w:val="0"/>
      </w:pPr>
      <w:r w:rsidRPr="00B874D4">
        <w:rPr>
          <w:u w:val="single"/>
        </w:rPr>
        <w:t>Possession</w:t>
      </w:r>
      <w:r>
        <w:t xml:space="preserve"> </w:t>
      </w:r>
      <w:r w:rsidR="00E32EB4">
        <w:t xml:space="preserve">The procuring </w:t>
      </w:r>
      <w:r w:rsidR="00456D38">
        <w:t>Agency</w:t>
      </w:r>
      <w:r w:rsidR="00E32EB4">
        <w:t xml:space="preserve"> must promptly return the performance bond upon satisfactory contract completion.</w:t>
      </w:r>
    </w:p>
    <w:p w14:paraId="70787F03" w14:textId="17212EDE" w:rsidR="00EC5A8B" w:rsidRPr="00EC5A8B" w:rsidRDefault="00EC5A8B" w:rsidP="00EC5A8B">
      <w:pPr>
        <w:pStyle w:val="ListParagraph"/>
        <w:numPr>
          <w:ilvl w:val="1"/>
          <w:numId w:val="7"/>
        </w:numPr>
        <w:spacing w:before="120" w:after="0" w:line="240" w:lineRule="auto"/>
        <w:contextualSpacing w:val="0"/>
      </w:pPr>
      <w:r w:rsidRPr="001F5DDD">
        <w:rPr>
          <w:u w:val="single"/>
        </w:rPr>
        <w:t>Forfeiture</w:t>
      </w:r>
      <w:r w:rsidR="001F5DDD">
        <w:t xml:space="preserve"> </w:t>
      </w:r>
      <w:r w:rsidRPr="001F5DDD">
        <w:t>In</w:t>
      </w:r>
      <w:r w:rsidRPr="0080394E">
        <w:t xml:space="preserve"> the event the contractor does not complete satisfactory performance</w:t>
      </w:r>
      <w:r w:rsidR="001F5DDD">
        <w:t>,</w:t>
      </w:r>
      <w:r w:rsidR="0064607F">
        <w:t xml:space="preserve"> the Agency will give notice of its intent to terminate the contract, following </w:t>
      </w:r>
      <w:r w:rsidR="001F5DDD">
        <w:t>the</w:t>
      </w:r>
      <w:r w:rsidR="0064607F">
        <w:t xml:space="preserve"> procedures as described in </w:t>
      </w:r>
      <w:r w:rsidR="001F5DDD">
        <w:t>its</w:t>
      </w:r>
      <w:r w:rsidR="0064607F">
        <w:t xml:space="preserve"> contract. If the contractor still does not provide satisfactory performance, the agency may redeem the performance bond and the contract will be terminated</w:t>
      </w:r>
      <w:r w:rsidRPr="0080394E">
        <w:t>.</w:t>
      </w:r>
    </w:p>
    <w:p w14:paraId="3BDF9825" w14:textId="77777777" w:rsidR="009D6E81" w:rsidRPr="003E012B" w:rsidRDefault="009D6E81" w:rsidP="009D6E81">
      <w:pPr>
        <w:pStyle w:val="ListParagraph"/>
        <w:numPr>
          <w:ilvl w:val="0"/>
          <w:numId w:val="7"/>
        </w:numPr>
        <w:spacing w:before="240" w:after="0" w:line="240" w:lineRule="auto"/>
        <w:contextualSpacing w:val="0"/>
        <w:rPr>
          <w:b/>
        </w:rPr>
      </w:pPr>
      <w:r>
        <w:rPr>
          <w:b/>
        </w:rPr>
        <w:t xml:space="preserve">Bond Requirements &amp; </w:t>
      </w:r>
      <w:r w:rsidRPr="00D34854">
        <w:rPr>
          <w:b/>
        </w:rPr>
        <w:t xml:space="preserve">Alternative </w:t>
      </w:r>
      <w:r>
        <w:rPr>
          <w:b/>
        </w:rPr>
        <w:t xml:space="preserve">Forms of </w:t>
      </w:r>
      <w:r w:rsidRPr="00D34854">
        <w:rPr>
          <w:b/>
        </w:rPr>
        <w:t>Security to a Bond</w:t>
      </w:r>
      <w:r>
        <w:rPr>
          <w:b/>
        </w:rPr>
        <w:t xml:space="preserve"> Requirement</w:t>
      </w:r>
    </w:p>
    <w:p w14:paraId="0BDC992A" w14:textId="257A08D5" w:rsidR="009D6E81" w:rsidRDefault="0011511B" w:rsidP="009D6E81">
      <w:pPr>
        <w:pStyle w:val="ListParagraph"/>
        <w:numPr>
          <w:ilvl w:val="1"/>
          <w:numId w:val="10"/>
        </w:numPr>
        <w:spacing w:before="120" w:after="0" w:line="240" w:lineRule="auto"/>
        <w:contextualSpacing w:val="0"/>
      </w:pPr>
      <w:r>
        <w:t>B</w:t>
      </w:r>
      <w:r w:rsidR="009D6E81">
        <w:t>idders shall be responsible for the cost of any required bond or alternative form of security.</w:t>
      </w:r>
    </w:p>
    <w:p w14:paraId="28EC8BF1" w14:textId="77777777" w:rsidR="009D6E81" w:rsidRDefault="009D6E81" w:rsidP="009D6E81">
      <w:pPr>
        <w:pStyle w:val="ListParagraph"/>
        <w:numPr>
          <w:ilvl w:val="1"/>
          <w:numId w:val="10"/>
        </w:numPr>
        <w:spacing w:before="120" w:after="0" w:line="240" w:lineRule="auto"/>
        <w:contextualSpacing w:val="0"/>
      </w:pPr>
      <w:r w:rsidRPr="000C079A">
        <w:t>If a bid</w:t>
      </w:r>
      <w:r>
        <w:t>, protest, or performance</w:t>
      </w:r>
      <w:r w:rsidRPr="000C079A">
        <w:t xml:space="preserve"> bond is </w:t>
      </w:r>
      <w:r>
        <w:t>required</w:t>
      </w:r>
      <w:r w:rsidRPr="000C079A">
        <w:t xml:space="preserve">, it </w:t>
      </w:r>
      <w:r>
        <w:t>must</w:t>
      </w:r>
      <w:r w:rsidRPr="000C079A">
        <w:t xml:space="preserve"> be written by a surety or insurance company currently on the U.S. Department of the Treasury Financial Management service list of approved bonding companies which is published annually in the Federal Register, or by a Washington domiciled insurance company with at least an A- rating in the latest printing of the A.M. Best's Key Rating Guide licensed to write surety bonds.  In addition, the bond </w:t>
      </w:r>
      <w:r>
        <w:t>must</w:t>
      </w:r>
      <w:r w:rsidRPr="000C079A">
        <w:t xml:space="preserve"> be written by a surety or insurance company that is currently licensed to do business in the State of Washington.</w:t>
      </w:r>
    </w:p>
    <w:p w14:paraId="15C1726C" w14:textId="7738364D" w:rsidR="009D6E81" w:rsidRPr="003E012B" w:rsidRDefault="009D6E81" w:rsidP="009D6E81">
      <w:pPr>
        <w:pStyle w:val="ListParagraph"/>
        <w:numPr>
          <w:ilvl w:val="1"/>
          <w:numId w:val="10"/>
        </w:numPr>
        <w:spacing w:before="120" w:after="0" w:line="240" w:lineRule="auto"/>
        <w:contextualSpacing w:val="0"/>
      </w:pPr>
      <w:r>
        <w:t>In lieu of any required bid, protest, or performance bond, a bidder may furnish a certified check or cash escrow in the face amount required for such bond</w:t>
      </w:r>
      <w:r w:rsidRPr="003E012B">
        <w:t xml:space="preserve"> </w:t>
      </w:r>
      <w:r>
        <w:t xml:space="preserve">made payable to the procuring </w:t>
      </w:r>
      <w:r w:rsidR="00456D38">
        <w:t>Agency</w:t>
      </w:r>
      <w:r>
        <w:t xml:space="preserve">.  In addition, the procuring </w:t>
      </w:r>
      <w:r w:rsidR="00456D38">
        <w:t>Agency</w:t>
      </w:r>
      <w:r>
        <w:t xml:space="preserve"> may accept an alternative form of security provided that such alternative form of security is (i) within the procuring </w:t>
      </w:r>
      <w:r w:rsidR="00456D38">
        <w:t>Agency</w:t>
      </w:r>
      <w:r>
        <w:t xml:space="preserve">’s authority to accept; (ii) expressly set forth in the competitive solicitation; and (iii) affords protection to the procuring </w:t>
      </w:r>
      <w:r w:rsidR="00456D38">
        <w:t>Agency</w:t>
      </w:r>
      <w:r>
        <w:t xml:space="preserve"> equivalent to a surety bond.</w:t>
      </w:r>
    </w:p>
    <w:p w14:paraId="394F52DB" w14:textId="7CB0B5B5" w:rsidR="009D6E81" w:rsidRDefault="009D6E81" w:rsidP="009D6E81">
      <w:pPr>
        <w:pStyle w:val="ListParagraph"/>
        <w:numPr>
          <w:ilvl w:val="0"/>
          <w:numId w:val="7"/>
        </w:numPr>
        <w:spacing w:before="240" w:after="0" w:line="240" w:lineRule="auto"/>
        <w:contextualSpacing w:val="0"/>
      </w:pPr>
      <w:r w:rsidRPr="00C622AD">
        <w:rPr>
          <w:b/>
        </w:rPr>
        <w:t>Responsible Bidder Determination</w:t>
      </w:r>
      <w:r w:rsidRPr="00C622AD">
        <w:rPr>
          <w:b/>
        </w:rPr>
        <w:br/>
      </w:r>
      <w:r>
        <w:t xml:space="preserve">Bonds are one of </w:t>
      </w:r>
      <w:r w:rsidR="00B874D4">
        <w:t>many</w:t>
      </w:r>
      <w:r>
        <w:t xml:space="preserve"> operational and contractual tools that procuring agencies </w:t>
      </w:r>
      <w:r w:rsidR="00B874D4">
        <w:t xml:space="preserve">may use </w:t>
      </w:r>
      <w:r>
        <w:t>to ensure performance or minimize financial risk</w:t>
      </w:r>
      <w:r w:rsidR="00B874D4">
        <w:t xml:space="preserve"> to the </w:t>
      </w:r>
      <w:r w:rsidR="00456D38">
        <w:t>Agency</w:t>
      </w:r>
      <w:r>
        <w:t xml:space="preserve">.  In competitive procurements, however, procuring agencies must not utilize a bond as a substitute for the procuring </w:t>
      </w:r>
      <w:r w:rsidR="00456D38">
        <w:t>Agency</w:t>
      </w:r>
      <w:r>
        <w:t xml:space="preserve">’s statutory obligation to determine that the lowest responsive bidder is a responsible bidder for the procurement.  </w:t>
      </w:r>
      <w:r w:rsidRPr="00341735">
        <w:rPr>
          <w:i/>
        </w:rPr>
        <w:t>See</w:t>
      </w:r>
      <w:r>
        <w:t xml:space="preserve"> RCW 39.26.160(2).</w:t>
      </w:r>
    </w:p>
    <w:p w14:paraId="332A692F" w14:textId="77777777" w:rsidR="009D6E81" w:rsidRPr="004933BF" w:rsidRDefault="009D6E81" w:rsidP="009D6E81">
      <w:pPr>
        <w:pStyle w:val="ListParagraph"/>
        <w:numPr>
          <w:ilvl w:val="0"/>
          <w:numId w:val="7"/>
        </w:numPr>
        <w:spacing w:before="240" w:after="0" w:line="240" w:lineRule="auto"/>
        <w:contextualSpacing w:val="0"/>
      </w:pPr>
      <w:r>
        <w:rPr>
          <w:b/>
        </w:rPr>
        <w:t>Competitive Procurements</w:t>
      </w:r>
      <w:r>
        <w:rPr>
          <w:b/>
        </w:rPr>
        <w:br/>
      </w:r>
      <w:r>
        <w:t>Compliance with this policy does not preclude bidders from raising complaints that a bond requirement, as set forth in a particular competitive procurement, unreasonably restricts competition.</w:t>
      </w:r>
    </w:p>
    <w:p w14:paraId="6CF01398" w14:textId="77777777" w:rsidR="002D4956" w:rsidRPr="00012EFA" w:rsidRDefault="00AE7A2A" w:rsidP="003E2315">
      <w:pPr>
        <w:pStyle w:val="Heading1"/>
        <w:rPr>
          <w:rFonts w:ascii="Calibri" w:hAnsi="Calibri"/>
        </w:rPr>
      </w:pPr>
      <w:r w:rsidRPr="00012EFA">
        <w:rPr>
          <w:rFonts w:ascii="Calibri" w:hAnsi="Calibri"/>
        </w:rPr>
        <w:t>H</w:t>
      </w:r>
      <w:r w:rsidR="002D4956" w:rsidRPr="00012EFA">
        <w:rPr>
          <w:rFonts w:ascii="Calibri" w:hAnsi="Calibri"/>
        </w:rPr>
        <w:t>istory</w:t>
      </w:r>
    </w:p>
    <w:p w14:paraId="512C9BEA" w14:textId="77777777" w:rsidR="00A44C37" w:rsidRPr="00012EFA" w:rsidRDefault="00A44C37" w:rsidP="003E2315">
      <w:pPr>
        <w:pStyle w:val="Heading2"/>
        <w:ind w:left="360"/>
        <w:rPr>
          <w:rFonts w:ascii="Calibri" w:hAnsi="Calibri"/>
        </w:rPr>
      </w:pPr>
      <w:r w:rsidRPr="00012EFA">
        <w:rPr>
          <w:rFonts w:ascii="Calibri" w:hAnsi="Calibri"/>
        </w:rPr>
        <w:t>Adopted</w:t>
      </w:r>
    </w:p>
    <w:p w14:paraId="376636DA" w14:textId="203E4E0C" w:rsidR="00A44C37" w:rsidRPr="00012EFA" w:rsidRDefault="00012EFA" w:rsidP="003E2315">
      <w:pPr>
        <w:spacing w:line="240" w:lineRule="auto"/>
        <w:ind w:firstLine="360"/>
        <w:rPr>
          <w:rFonts w:ascii="Calibri" w:hAnsi="Calibri" w:cstheme="minorHAnsi"/>
          <w:sz w:val="20"/>
          <w:szCs w:val="20"/>
          <w:lang w:bidi="en-US"/>
        </w:rPr>
      </w:pPr>
      <w:r w:rsidRPr="00012EFA">
        <w:rPr>
          <w:rFonts w:ascii="Calibri" w:hAnsi="Calibri" w:cstheme="minorHAnsi"/>
          <w:sz w:val="20"/>
          <w:szCs w:val="20"/>
          <w:lang w:bidi="en-US"/>
        </w:rPr>
        <w:t>TBD</w:t>
      </w:r>
    </w:p>
    <w:p w14:paraId="675310AD" w14:textId="77777777" w:rsidR="002D4956" w:rsidRPr="00012EFA" w:rsidRDefault="00AE7A2A" w:rsidP="003E2315">
      <w:pPr>
        <w:pStyle w:val="Heading2"/>
        <w:ind w:left="360"/>
        <w:rPr>
          <w:rFonts w:ascii="Calibri" w:hAnsi="Calibri"/>
        </w:rPr>
      </w:pPr>
      <w:r w:rsidRPr="00012EFA">
        <w:rPr>
          <w:rFonts w:ascii="Calibri" w:hAnsi="Calibri"/>
        </w:rPr>
        <w:t>Replaces</w:t>
      </w:r>
    </w:p>
    <w:p w14:paraId="78B3A1A0" w14:textId="158B4843" w:rsidR="002D4956" w:rsidRPr="00012EFA" w:rsidRDefault="00EC5A8B" w:rsidP="002D4956">
      <w:pPr>
        <w:spacing w:line="240" w:lineRule="auto"/>
        <w:ind w:left="360"/>
        <w:rPr>
          <w:rFonts w:ascii="Calibri" w:hAnsi="Calibri" w:cstheme="minorHAnsi"/>
          <w:sz w:val="20"/>
          <w:szCs w:val="20"/>
          <w:lang w:bidi="en-US"/>
        </w:rPr>
      </w:pPr>
      <w:r w:rsidRPr="00012EFA">
        <w:rPr>
          <w:rFonts w:ascii="Calibri" w:hAnsi="Calibri" w:cstheme="minorHAnsi"/>
        </w:rPr>
        <w:t>N/A</w:t>
      </w:r>
    </w:p>
    <w:sectPr w:rsidR="002D4956" w:rsidRPr="00012EFA" w:rsidSect="00295C76">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E8BD5" w14:textId="77777777" w:rsidR="00B4721C" w:rsidRDefault="00B4721C" w:rsidP="005A2388">
      <w:pPr>
        <w:spacing w:after="0" w:line="240" w:lineRule="auto"/>
      </w:pPr>
      <w:r>
        <w:separator/>
      </w:r>
    </w:p>
  </w:endnote>
  <w:endnote w:type="continuationSeparator" w:id="0">
    <w:p w14:paraId="7F0FE507" w14:textId="77777777" w:rsidR="00B4721C" w:rsidRDefault="00B4721C" w:rsidP="005A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84260" w14:textId="77777777" w:rsidR="004957E4" w:rsidRDefault="00495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5E394" w14:textId="77777777" w:rsidR="004957E4" w:rsidRDefault="004957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CE7E0" w14:textId="77777777" w:rsidR="004957E4" w:rsidRDefault="00495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F9E06" w14:textId="77777777" w:rsidR="00B4721C" w:rsidRDefault="00B4721C" w:rsidP="005A2388">
      <w:pPr>
        <w:spacing w:after="0" w:line="240" w:lineRule="auto"/>
      </w:pPr>
      <w:r>
        <w:separator/>
      </w:r>
    </w:p>
  </w:footnote>
  <w:footnote w:type="continuationSeparator" w:id="0">
    <w:p w14:paraId="09B51907" w14:textId="77777777" w:rsidR="00B4721C" w:rsidRDefault="00B4721C" w:rsidP="005A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DEA69" w14:textId="77777777" w:rsidR="004957E4" w:rsidRDefault="00495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D7863" w14:textId="77777777" w:rsidR="004957E4" w:rsidRDefault="00495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DE6CE" w14:textId="1F1F00AB" w:rsidR="00295C76" w:rsidRDefault="004957E4">
    <w:pPr>
      <w:pStyle w:val="Header"/>
    </w:pPr>
    <w:sdt>
      <w:sdtPr>
        <w:id w:val="114491310"/>
        <w:docPartObj>
          <w:docPartGallery w:val="Watermarks"/>
          <w:docPartUnique/>
        </w:docPartObj>
      </w:sdtPr>
      <w:sdtContent>
        <w:r>
          <w:rPr>
            <w:noProof/>
          </w:rPr>
          <w:pict w14:anchorId="756BD6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95C76" w:rsidRPr="00D0246A">
      <w:rPr>
        <w:rFonts w:cstheme="minorHAnsi"/>
        <w:noProof/>
      </w:rPr>
      <w:drawing>
        <wp:inline distT="0" distB="0" distL="0" distR="0" wp14:anchorId="2AEA6EAD" wp14:editId="7EA49D5D">
          <wp:extent cx="2162695" cy="365760"/>
          <wp:effectExtent l="0" t="0" r="9525" b="0"/>
          <wp:docPr id="1" name="Picture 2" descr="Department of Enterprise Services orange blue logo"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is.wa.gov/des/PublishingImages/DES_logo_orange.jpg"/>
                  <pic:cNvPicPr>
                    <a:picLocks noChangeAspect="1" noChangeArrowheads="1"/>
                  </pic:cNvPicPr>
                </pic:nvPicPr>
                <pic:blipFill>
                  <a:blip r:embed="rId1"/>
                  <a:srcRect/>
                  <a:stretch>
                    <a:fillRect/>
                  </a:stretch>
                </pic:blipFill>
                <pic:spPr bwMode="auto">
                  <a:xfrm>
                    <a:off x="0" y="0"/>
                    <a:ext cx="2162695" cy="3657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EA9"/>
    <w:multiLevelType w:val="hybridMultilevel"/>
    <w:tmpl w:val="DEB8F6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B1746"/>
    <w:multiLevelType w:val="hybridMultilevel"/>
    <w:tmpl w:val="1450B2D4"/>
    <w:lvl w:ilvl="0" w:tplc="A30A65FA">
      <w:start w:val="1"/>
      <w:numFmt w:val="lowerLetter"/>
      <w:lvlText w:val="%1."/>
      <w:lvlJc w:val="left"/>
      <w:pPr>
        <w:ind w:left="108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1B75"/>
    <w:multiLevelType w:val="hybridMultilevel"/>
    <w:tmpl w:val="CC8E0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01D7"/>
    <w:multiLevelType w:val="hybridMultilevel"/>
    <w:tmpl w:val="A12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7335FD"/>
    <w:multiLevelType w:val="hybridMultilevel"/>
    <w:tmpl w:val="A4D8780A"/>
    <w:lvl w:ilvl="0" w:tplc="89A62FB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47701D"/>
    <w:multiLevelType w:val="hybridMultilevel"/>
    <w:tmpl w:val="978410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23D3402"/>
    <w:multiLevelType w:val="hybridMultilevel"/>
    <w:tmpl w:val="5E427486"/>
    <w:lvl w:ilvl="0" w:tplc="AA18E1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D298C"/>
    <w:multiLevelType w:val="hybridMultilevel"/>
    <w:tmpl w:val="1C5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33DBD"/>
    <w:multiLevelType w:val="hybridMultilevel"/>
    <w:tmpl w:val="B89A75AC"/>
    <w:lvl w:ilvl="0" w:tplc="04090019">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4057C9"/>
    <w:multiLevelType w:val="hybridMultilevel"/>
    <w:tmpl w:val="8E0258A2"/>
    <w:lvl w:ilvl="0" w:tplc="E834CE7A">
      <w:start w:val="1"/>
      <w:numFmt w:val="decimal"/>
      <w:lvlText w:val="%1."/>
      <w:lvlJc w:val="left"/>
      <w:pPr>
        <w:ind w:left="360" w:hanging="360"/>
      </w:pPr>
      <w:rPr>
        <w:b/>
      </w:rPr>
    </w:lvl>
    <w:lvl w:ilvl="1" w:tplc="A30A65FA">
      <w:start w:val="1"/>
      <w:numFmt w:val="lowerLetter"/>
      <w:lvlText w:val="%2."/>
      <w:lvlJc w:val="left"/>
      <w:pPr>
        <w:ind w:left="1080" w:hanging="360"/>
      </w:pPr>
      <w:rPr>
        <w:b w:val="0"/>
        <w:sz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8954F4"/>
    <w:multiLevelType w:val="hybridMultilevel"/>
    <w:tmpl w:val="D5BC344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FD2DBC"/>
    <w:multiLevelType w:val="hybridMultilevel"/>
    <w:tmpl w:val="8D72E5B8"/>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2F3200"/>
    <w:multiLevelType w:val="hybridMultilevel"/>
    <w:tmpl w:val="ABA8EB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8"/>
  </w:num>
  <w:num w:numId="3">
    <w:abstractNumId w:val="4"/>
  </w:num>
  <w:num w:numId="4">
    <w:abstractNumId w:val="11"/>
  </w:num>
  <w:num w:numId="5">
    <w:abstractNumId w:val="1"/>
  </w:num>
  <w:num w:numId="6">
    <w:abstractNumId w:val="9"/>
  </w:num>
  <w:num w:numId="7">
    <w:abstractNumId w:val="0"/>
  </w:num>
  <w:num w:numId="8">
    <w:abstractNumId w:val="5"/>
  </w:num>
  <w:num w:numId="9">
    <w:abstractNumId w:val="10"/>
  </w:num>
  <w:num w:numId="10">
    <w:abstractNumId w:val="7"/>
  </w:num>
  <w:num w:numId="11">
    <w:abstractNumId w:val="2"/>
  </w:num>
  <w:num w:numId="12">
    <w:abstractNumId w:val="13"/>
  </w:num>
  <w:num w:numId="13">
    <w:abstractNumId w:val="1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7"/>
    <w:rsid w:val="00012EFA"/>
    <w:rsid w:val="000524CE"/>
    <w:rsid w:val="00057348"/>
    <w:rsid w:val="00080714"/>
    <w:rsid w:val="00090844"/>
    <w:rsid w:val="00095EF9"/>
    <w:rsid w:val="000A00BA"/>
    <w:rsid w:val="000E1F27"/>
    <w:rsid w:val="000F6EF1"/>
    <w:rsid w:val="0011511B"/>
    <w:rsid w:val="001562B7"/>
    <w:rsid w:val="00157A23"/>
    <w:rsid w:val="00183350"/>
    <w:rsid w:val="0019011C"/>
    <w:rsid w:val="001B1AFD"/>
    <w:rsid w:val="001B741C"/>
    <w:rsid w:val="001D24E8"/>
    <w:rsid w:val="001F5DDD"/>
    <w:rsid w:val="002106E8"/>
    <w:rsid w:val="00226D2C"/>
    <w:rsid w:val="00241EDE"/>
    <w:rsid w:val="00295C76"/>
    <w:rsid w:val="002B0F44"/>
    <w:rsid w:val="002D4956"/>
    <w:rsid w:val="002E618A"/>
    <w:rsid w:val="002F3837"/>
    <w:rsid w:val="003141E0"/>
    <w:rsid w:val="00340303"/>
    <w:rsid w:val="0036425A"/>
    <w:rsid w:val="00387DBC"/>
    <w:rsid w:val="003A1538"/>
    <w:rsid w:val="003B4E6D"/>
    <w:rsid w:val="003C1367"/>
    <w:rsid w:val="003E2315"/>
    <w:rsid w:val="003E7B63"/>
    <w:rsid w:val="004006B1"/>
    <w:rsid w:val="00440109"/>
    <w:rsid w:val="00441632"/>
    <w:rsid w:val="004472B0"/>
    <w:rsid w:val="00456D38"/>
    <w:rsid w:val="00466403"/>
    <w:rsid w:val="004957E4"/>
    <w:rsid w:val="00496AC4"/>
    <w:rsid w:val="004D0CFF"/>
    <w:rsid w:val="004E41BA"/>
    <w:rsid w:val="00523F4C"/>
    <w:rsid w:val="005271D5"/>
    <w:rsid w:val="005368B1"/>
    <w:rsid w:val="005519A7"/>
    <w:rsid w:val="005A2388"/>
    <w:rsid w:val="005A5AE7"/>
    <w:rsid w:val="005C4288"/>
    <w:rsid w:val="005D45FD"/>
    <w:rsid w:val="005E616F"/>
    <w:rsid w:val="00602931"/>
    <w:rsid w:val="00617027"/>
    <w:rsid w:val="00625432"/>
    <w:rsid w:val="00627846"/>
    <w:rsid w:val="00630B7C"/>
    <w:rsid w:val="0063347B"/>
    <w:rsid w:val="0064607F"/>
    <w:rsid w:val="00646BEC"/>
    <w:rsid w:val="0065601C"/>
    <w:rsid w:val="006620E7"/>
    <w:rsid w:val="006822CB"/>
    <w:rsid w:val="006C7185"/>
    <w:rsid w:val="00702CED"/>
    <w:rsid w:val="00715DAB"/>
    <w:rsid w:val="00732699"/>
    <w:rsid w:val="00746C77"/>
    <w:rsid w:val="007547D2"/>
    <w:rsid w:val="0075761B"/>
    <w:rsid w:val="007710A9"/>
    <w:rsid w:val="00775532"/>
    <w:rsid w:val="007822AD"/>
    <w:rsid w:val="00786EFD"/>
    <w:rsid w:val="007C09E8"/>
    <w:rsid w:val="007D46A3"/>
    <w:rsid w:val="00803285"/>
    <w:rsid w:val="0080394E"/>
    <w:rsid w:val="008221D8"/>
    <w:rsid w:val="00826E56"/>
    <w:rsid w:val="00857376"/>
    <w:rsid w:val="008651C5"/>
    <w:rsid w:val="00894AF6"/>
    <w:rsid w:val="008A59FC"/>
    <w:rsid w:val="008B4113"/>
    <w:rsid w:val="008E5891"/>
    <w:rsid w:val="00906565"/>
    <w:rsid w:val="00924961"/>
    <w:rsid w:val="00932C56"/>
    <w:rsid w:val="0094102C"/>
    <w:rsid w:val="00941B97"/>
    <w:rsid w:val="00964413"/>
    <w:rsid w:val="00965D18"/>
    <w:rsid w:val="009A344F"/>
    <w:rsid w:val="009C54D8"/>
    <w:rsid w:val="009C6186"/>
    <w:rsid w:val="009C7FB8"/>
    <w:rsid w:val="009D6E81"/>
    <w:rsid w:val="009F1FFE"/>
    <w:rsid w:val="00A07D5F"/>
    <w:rsid w:val="00A403C9"/>
    <w:rsid w:val="00A44C37"/>
    <w:rsid w:val="00A46461"/>
    <w:rsid w:val="00A63ED0"/>
    <w:rsid w:val="00A76FE6"/>
    <w:rsid w:val="00AA0AB3"/>
    <w:rsid w:val="00AE1D6F"/>
    <w:rsid w:val="00AE7A2A"/>
    <w:rsid w:val="00AF170D"/>
    <w:rsid w:val="00B02B67"/>
    <w:rsid w:val="00B0711F"/>
    <w:rsid w:val="00B10A26"/>
    <w:rsid w:val="00B14CD0"/>
    <w:rsid w:val="00B17253"/>
    <w:rsid w:val="00B4721C"/>
    <w:rsid w:val="00B706DF"/>
    <w:rsid w:val="00B7420D"/>
    <w:rsid w:val="00B75D30"/>
    <w:rsid w:val="00B874D4"/>
    <w:rsid w:val="00B933E4"/>
    <w:rsid w:val="00BA1A89"/>
    <w:rsid w:val="00BB7877"/>
    <w:rsid w:val="00BC6AB2"/>
    <w:rsid w:val="00BD273D"/>
    <w:rsid w:val="00BE7C14"/>
    <w:rsid w:val="00BF0E69"/>
    <w:rsid w:val="00C04E67"/>
    <w:rsid w:val="00C264CA"/>
    <w:rsid w:val="00C666A6"/>
    <w:rsid w:val="00CA6898"/>
    <w:rsid w:val="00CC4FD4"/>
    <w:rsid w:val="00CE2C57"/>
    <w:rsid w:val="00CE6479"/>
    <w:rsid w:val="00D0246A"/>
    <w:rsid w:val="00D4130C"/>
    <w:rsid w:val="00D50C70"/>
    <w:rsid w:val="00D7056D"/>
    <w:rsid w:val="00DB0731"/>
    <w:rsid w:val="00DB0E42"/>
    <w:rsid w:val="00DC63DE"/>
    <w:rsid w:val="00DD5FA4"/>
    <w:rsid w:val="00DF138B"/>
    <w:rsid w:val="00E066B8"/>
    <w:rsid w:val="00E32EB4"/>
    <w:rsid w:val="00E378E3"/>
    <w:rsid w:val="00E405BC"/>
    <w:rsid w:val="00E47135"/>
    <w:rsid w:val="00E54934"/>
    <w:rsid w:val="00E908CE"/>
    <w:rsid w:val="00EC5A8B"/>
    <w:rsid w:val="00ED3880"/>
    <w:rsid w:val="00F01EB6"/>
    <w:rsid w:val="00F23A3F"/>
    <w:rsid w:val="00F350FD"/>
    <w:rsid w:val="00F35E2E"/>
    <w:rsid w:val="00F562C8"/>
    <w:rsid w:val="00F8711B"/>
    <w:rsid w:val="00F93133"/>
    <w:rsid w:val="00F935E8"/>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0CD1BCC5"/>
  <w15:chartTrackingRefBased/>
  <w15:docId w15:val="{B234B40F-7959-42EA-A512-525C1277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sid w:val="00B17253"/>
  </w:style>
  <w:style w:type="paragraph" w:styleId="Heading1">
    <w:name w:val="heading 1"/>
    <w:basedOn w:val="Normal"/>
    <w:next w:val="Normal"/>
    <w:link w:val="Heading1Char"/>
    <w:uiPriority w:val="9"/>
    <w:qFormat/>
    <w:rsid w:val="00295C76"/>
    <w:pPr>
      <w:keepNext/>
      <w:keepLines/>
      <w:pBdr>
        <w:top w:val="single" w:sz="4" w:space="1" w:color="auto"/>
      </w:pBdr>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295C76"/>
    <w:pPr>
      <w:keepNext/>
      <w:keepLines/>
      <w:spacing w:before="40" w:after="0"/>
      <w:outlineLvl w:val="1"/>
    </w:pPr>
    <w:rPr>
      <w:rFonts w:asciiTheme="majorHAnsi" w:eastAsiaTheme="majorEastAsia" w:hAnsiTheme="majorHAnsi" w:cstheme="majorBidi"/>
      <w:color w:val="2F5496"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E6479"/>
    <w:pPr>
      <w:numPr>
        <w:ilvl w:val="1"/>
      </w:numPr>
      <w:spacing w:after="120" w:line="240" w:lineRule="auto"/>
    </w:pPr>
    <w:rPr>
      <w:rFonts w:ascii="Georgia" w:eastAsiaTheme="majorEastAsia" w:hAnsi="Georgia" w:cstheme="majorBidi"/>
      <w:b/>
      <w:iCs/>
      <w:noProof/>
      <w:color w:val="1F4E79" w:themeColor="accent1" w:themeShade="80"/>
      <w:lang w:eastAsia="zh-TW" w:bidi="en-US"/>
    </w:rPr>
  </w:style>
  <w:style w:type="character" w:customStyle="1" w:styleId="SubtitleChar">
    <w:name w:val="Subtitle Char"/>
    <w:basedOn w:val="DefaultParagraphFont"/>
    <w:link w:val="Subtitle"/>
    <w:uiPriority w:val="11"/>
    <w:rsid w:val="00CE6479"/>
    <w:rPr>
      <w:rFonts w:ascii="Georgia" w:eastAsiaTheme="majorEastAsia" w:hAnsi="Georgia" w:cstheme="majorBidi"/>
      <w:b/>
      <w:iCs/>
      <w:noProof/>
      <w:color w:val="1F4E79" w:themeColor="accent1" w:themeShade="80"/>
      <w:lang w:eastAsia="zh-TW" w:bidi="en-US"/>
    </w:rPr>
  </w:style>
  <w:style w:type="character" w:styleId="Hyperlink">
    <w:name w:val="Hyperlink"/>
    <w:basedOn w:val="DefaultParagraphFont"/>
    <w:uiPriority w:val="99"/>
    <w:unhideWhenUsed/>
    <w:rsid w:val="00CE6479"/>
    <w:rPr>
      <w:color w:val="0563C1" w:themeColor="hyperlink"/>
      <w:u w:val="single"/>
    </w:rPr>
  </w:style>
  <w:style w:type="paragraph" w:customStyle="1" w:styleId="InfoBlock">
    <w:name w:val="Info Block"/>
    <w:basedOn w:val="Normal"/>
    <w:link w:val="InfoBlockChar"/>
    <w:qFormat/>
    <w:rsid w:val="00CE6479"/>
    <w:pPr>
      <w:spacing w:before="60" w:after="60" w:line="240" w:lineRule="auto"/>
    </w:pPr>
    <w:rPr>
      <w:rFonts w:ascii="Arial" w:hAnsi="Arial" w:cs="Arial"/>
      <w:sz w:val="20"/>
      <w:szCs w:val="20"/>
      <w:lang w:bidi="en-US"/>
    </w:rPr>
  </w:style>
  <w:style w:type="character" w:customStyle="1" w:styleId="InfoBlockChar">
    <w:name w:val="Info Block Char"/>
    <w:basedOn w:val="DefaultParagraphFont"/>
    <w:link w:val="InfoBlock"/>
    <w:rsid w:val="00CE6479"/>
    <w:rPr>
      <w:rFonts w:ascii="Arial" w:hAnsi="Arial" w:cs="Arial"/>
      <w:sz w:val="20"/>
      <w:szCs w:val="20"/>
      <w:lang w:bidi="en-US"/>
    </w:rPr>
  </w:style>
  <w:style w:type="table" w:styleId="TableGrid">
    <w:name w:val="Table Grid"/>
    <w:basedOn w:val="TableNormal"/>
    <w:uiPriority w:val="59"/>
    <w:rsid w:val="00CE6479"/>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95C76"/>
    <w:pPr>
      <w:spacing w:after="0" w:line="240" w:lineRule="auto"/>
      <w:contextualSpacing/>
    </w:pPr>
    <w:rPr>
      <w:rFonts w:asciiTheme="majorHAnsi" w:eastAsiaTheme="majorEastAsia" w:hAnsiTheme="majorHAnsi"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295C76"/>
    <w:rPr>
      <w:rFonts w:asciiTheme="majorHAnsi" w:eastAsiaTheme="majorEastAsia" w:hAnsiTheme="majorHAnsi" w:cstheme="majorBidi"/>
      <w:color w:val="1F4E79" w:themeColor="accent1" w:themeShade="80"/>
      <w:spacing w:val="-10"/>
      <w:kern w:val="28"/>
      <w:sz w:val="56"/>
      <w:szCs w:val="56"/>
    </w:rPr>
  </w:style>
  <w:style w:type="character" w:customStyle="1" w:styleId="Heading1Char">
    <w:name w:val="Heading 1 Char"/>
    <w:basedOn w:val="DefaultParagraphFont"/>
    <w:link w:val="Heading1"/>
    <w:uiPriority w:val="9"/>
    <w:rsid w:val="00295C76"/>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295C76"/>
    <w:rPr>
      <w:rFonts w:asciiTheme="majorHAnsi" w:eastAsiaTheme="majorEastAsia" w:hAnsiTheme="majorHAnsi" w:cstheme="majorBidi"/>
      <w:color w:val="2F5496" w:themeColor="accent5" w:themeShade="BF"/>
      <w:sz w:val="26"/>
      <w:szCs w:val="26"/>
    </w:rPr>
  </w:style>
  <w:style w:type="paragraph" w:styleId="NoSpacing">
    <w:name w:val="No Spacing"/>
    <w:aliases w:val="Normal 3,DES-No Spacing"/>
    <w:link w:val="NoSpacingChar"/>
    <w:uiPriority w:val="1"/>
    <w:qFormat/>
    <w:rsid w:val="00F935E8"/>
    <w:pPr>
      <w:spacing w:after="0" w:line="240" w:lineRule="auto"/>
    </w:pPr>
    <w:rPr>
      <w:rFonts w:ascii="Arial" w:hAnsi="Arial" w:cs="Arial"/>
      <w:sz w:val="20"/>
      <w:szCs w:val="20"/>
      <w:lang w:bidi="en-US"/>
    </w:rPr>
  </w:style>
  <w:style w:type="paragraph" w:styleId="ListParagraph">
    <w:name w:val="List Paragraph"/>
    <w:basedOn w:val="Normal"/>
    <w:uiPriority w:val="34"/>
    <w:qFormat/>
    <w:rsid w:val="00F935E8"/>
    <w:pPr>
      <w:ind w:left="720"/>
      <w:contextualSpacing/>
    </w:pPr>
  </w:style>
  <w:style w:type="paragraph" w:styleId="NormalWeb">
    <w:name w:val="Normal (Web)"/>
    <w:basedOn w:val="Normal"/>
    <w:uiPriority w:val="99"/>
    <w:semiHidden/>
    <w:unhideWhenUsed/>
    <w:rsid w:val="005E61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88"/>
  </w:style>
  <w:style w:type="paragraph" w:styleId="Footer">
    <w:name w:val="footer"/>
    <w:basedOn w:val="Normal"/>
    <w:link w:val="FooterChar"/>
    <w:uiPriority w:val="99"/>
    <w:unhideWhenUsed/>
    <w:rsid w:val="005A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88"/>
  </w:style>
  <w:style w:type="paragraph" w:styleId="BalloonText">
    <w:name w:val="Balloon Text"/>
    <w:basedOn w:val="Normal"/>
    <w:link w:val="BalloonTextChar"/>
    <w:uiPriority w:val="99"/>
    <w:semiHidden/>
    <w:unhideWhenUsed/>
    <w:rsid w:val="0062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32"/>
    <w:rPr>
      <w:rFonts w:ascii="Segoe UI" w:hAnsi="Segoe UI" w:cs="Segoe UI"/>
      <w:sz w:val="18"/>
      <w:szCs w:val="18"/>
    </w:rPr>
  </w:style>
  <w:style w:type="character" w:styleId="FollowedHyperlink">
    <w:name w:val="FollowedHyperlink"/>
    <w:basedOn w:val="DefaultParagraphFont"/>
    <w:uiPriority w:val="99"/>
    <w:semiHidden/>
    <w:unhideWhenUsed/>
    <w:rsid w:val="008A59FC"/>
    <w:rPr>
      <w:color w:val="954F72" w:themeColor="followedHyperlink"/>
      <w:u w:val="single"/>
    </w:rPr>
  </w:style>
  <w:style w:type="paragraph" w:customStyle="1" w:styleId="Normal2">
    <w:name w:val="Normal2"/>
    <w:basedOn w:val="Normal"/>
    <w:link w:val="Normal2Char"/>
    <w:qFormat/>
    <w:rsid w:val="00C666A6"/>
    <w:pPr>
      <w:ind w:left="360"/>
    </w:pPr>
  </w:style>
  <w:style w:type="character" w:customStyle="1" w:styleId="Normal2Char">
    <w:name w:val="Normal2 Char"/>
    <w:basedOn w:val="DefaultParagraphFont"/>
    <w:link w:val="Normal2"/>
    <w:rsid w:val="00C666A6"/>
  </w:style>
  <w:style w:type="character" w:customStyle="1" w:styleId="NoSpacingChar">
    <w:name w:val="No Spacing Char"/>
    <w:aliases w:val="Normal 3 Char,DES-No Spacing Char"/>
    <w:basedOn w:val="DefaultParagraphFont"/>
    <w:link w:val="NoSpacing"/>
    <w:uiPriority w:val="1"/>
    <w:locked/>
    <w:rsid w:val="00964413"/>
    <w:rPr>
      <w:rFonts w:ascii="Arial" w:hAnsi="Arial" w:cs="Arial"/>
      <w:sz w:val="20"/>
      <w:szCs w:val="20"/>
      <w:lang w:bidi="en-US"/>
    </w:rPr>
  </w:style>
  <w:style w:type="character" w:styleId="CommentReference">
    <w:name w:val="annotation reference"/>
    <w:basedOn w:val="DefaultParagraphFont"/>
    <w:uiPriority w:val="99"/>
    <w:semiHidden/>
    <w:unhideWhenUsed/>
    <w:rsid w:val="007C09E8"/>
    <w:rPr>
      <w:sz w:val="16"/>
      <w:szCs w:val="16"/>
    </w:rPr>
  </w:style>
  <w:style w:type="paragraph" w:styleId="CommentText">
    <w:name w:val="annotation text"/>
    <w:basedOn w:val="Normal"/>
    <w:link w:val="CommentTextChar"/>
    <w:uiPriority w:val="99"/>
    <w:semiHidden/>
    <w:unhideWhenUsed/>
    <w:rsid w:val="007C09E8"/>
    <w:pPr>
      <w:spacing w:line="240" w:lineRule="auto"/>
    </w:pPr>
    <w:rPr>
      <w:sz w:val="20"/>
      <w:szCs w:val="20"/>
    </w:rPr>
  </w:style>
  <w:style w:type="character" w:customStyle="1" w:styleId="CommentTextChar">
    <w:name w:val="Comment Text Char"/>
    <w:basedOn w:val="DefaultParagraphFont"/>
    <w:link w:val="CommentText"/>
    <w:uiPriority w:val="99"/>
    <w:semiHidden/>
    <w:rsid w:val="007C09E8"/>
    <w:rPr>
      <w:sz w:val="20"/>
      <w:szCs w:val="20"/>
    </w:rPr>
  </w:style>
  <w:style w:type="paragraph" w:styleId="CommentSubject">
    <w:name w:val="annotation subject"/>
    <w:basedOn w:val="CommentText"/>
    <w:next w:val="CommentText"/>
    <w:link w:val="CommentSubjectChar"/>
    <w:uiPriority w:val="99"/>
    <w:semiHidden/>
    <w:unhideWhenUsed/>
    <w:rsid w:val="007C09E8"/>
    <w:rPr>
      <w:b/>
      <w:bCs/>
    </w:rPr>
  </w:style>
  <w:style w:type="character" w:customStyle="1" w:styleId="CommentSubjectChar">
    <w:name w:val="Comment Subject Char"/>
    <w:basedOn w:val="CommentTextChar"/>
    <w:link w:val="CommentSubject"/>
    <w:uiPriority w:val="99"/>
    <w:semiHidden/>
    <w:rsid w:val="007C0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39332">
      <w:bodyDiv w:val="1"/>
      <w:marLeft w:val="0"/>
      <w:marRight w:val="0"/>
      <w:marTop w:val="0"/>
      <w:marBottom w:val="0"/>
      <w:divBdr>
        <w:top w:val="none" w:sz="0" w:space="0" w:color="auto"/>
        <w:left w:val="none" w:sz="0" w:space="0" w:color="auto"/>
        <w:bottom w:val="none" w:sz="0" w:space="0" w:color="auto"/>
        <w:right w:val="none" w:sz="0" w:space="0" w:color="auto"/>
      </w:divBdr>
      <w:divsChild>
        <w:div w:id="1517111591">
          <w:marLeft w:val="0"/>
          <w:marRight w:val="0"/>
          <w:marTop w:val="0"/>
          <w:marBottom w:val="0"/>
          <w:divBdr>
            <w:top w:val="none" w:sz="0" w:space="0" w:color="auto"/>
            <w:left w:val="none" w:sz="0" w:space="0" w:color="auto"/>
            <w:bottom w:val="none" w:sz="0" w:space="0" w:color="auto"/>
            <w:right w:val="none" w:sz="0" w:space="0" w:color="auto"/>
          </w:divBdr>
          <w:divsChild>
            <w:div w:id="1731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leg.wa.gov/RCW/default.aspx?cite=39.26.09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app.leg.wa.gov/RCW/default.aspx?cite=39.26.18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leg.wa.gov/RCW/default.aspx?cite=39.26.190" TargetMode="External"/><Relationship Id="rId5" Type="http://schemas.openxmlformats.org/officeDocument/2006/relationships/styles" Target="styles.xml"/><Relationship Id="rId15" Type="http://schemas.openxmlformats.org/officeDocument/2006/relationships/hyperlink" Target="https://app.leg.wa.gov/RCW/default.aspx?cite=39.26.005" TargetMode="External"/><Relationship Id="rId23" Type="http://schemas.openxmlformats.org/officeDocument/2006/relationships/theme" Target="theme/theme1.xml"/><Relationship Id="rId10" Type="http://schemas.openxmlformats.org/officeDocument/2006/relationships/hyperlink" Target="http://apps.leg.wa.gov/RCW/default.aspx?cite=28B.10.016"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leg.wa.gov/RCW/default.aspx?cite=39.26.180"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8D5D01CD5DBE4F89C499B2100A9B06" ma:contentTypeVersion="4" ma:contentTypeDescription="Create a new document." ma:contentTypeScope="" ma:versionID="5a87fae6ebe0b0d33baba2875e1e8dc9">
  <xsd:schema xmlns:xsd="http://www.w3.org/2001/XMLSchema" xmlns:xs="http://www.w3.org/2001/XMLSchema" xmlns:p="http://schemas.microsoft.com/office/2006/metadata/properties" xmlns:ns1="http://schemas.microsoft.com/sharepoint/v3" xmlns:ns3="4f5804d5-49c0-4153-b9d4-3ac3acf566d3" targetNamespace="http://schemas.microsoft.com/office/2006/metadata/properties" ma:root="true" ma:fieldsID="4e0ec86e47f6f93c192d379fd5a00283" ns1:_="" ns3: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4f5804d5-49c0-4153-b9d4-3ac3acf566d3">Template</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DDC5B9-333E-4F1C-8042-31BC928DCC39}">
  <ds:schemaRefs>
    <ds:schemaRef ds:uri="http://schemas.microsoft.com/sharepoint/v3/contenttype/forms"/>
  </ds:schemaRefs>
</ds:datastoreItem>
</file>

<file path=customXml/itemProps2.xml><?xml version="1.0" encoding="utf-8"?>
<ds:datastoreItem xmlns:ds="http://schemas.openxmlformats.org/officeDocument/2006/customXml" ds:itemID="{EC7BD46C-82B8-4C23-8284-CF97C39F1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9353F-D45F-4816-9F9F-7DA7F0E3FC9A}">
  <ds:schemaRefs>
    <ds:schemaRef ds:uri="http://purl.org/dc/elements/1.1/"/>
    <ds:schemaRef ds:uri="http://schemas.microsoft.com/office/2006/metadata/properties"/>
    <ds:schemaRef ds:uri="http://schemas.microsoft.com/sharepoint/v3"/>
    <ds:schemaRef ds:uri="4f5804d5-49c0-4153-b9d4-3ac3acf566d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Pre-Formatted Accessible Policy Template</vt:lpstr>
    </vt:vector>
  </TitlesOfParts>
  <Company>Washington Technology Solutions</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Pre-Formatted Accessible Policy Template</dc:title>
  <dc:subject/>
  <dc:creator>jack.zeigler@des.wa.gov</dc:creator>
  <cp:keywords/>
  <dc:description/>
  <cp:lastModifiedBy>Warnock, Christine (DES)</cp:lastModifiedBy>
  <cp:revision>5</cp:revision>
  <cp:lastPrinted>2020-05-18T17:03:00Z</cp:lastPrinted>
  <dcterms:created xsi:type="dcterms:W3CDTF">2020-05-20T16:51:00Z</dcterms:created>
  <dcterms:modified xsi:type="dcterms:W3CDTF">2020-05-22T18:31:00Z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0x010100208D5D01CD5DBE4F89C499B2100A9B06</vt:lpwstr>
  </property>
</Properties>
</file>