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3D38A" w14:textId="77777777" w:rsidR="000F275D" w:rsidRDefault="000F275D" w:rsidP="00CE6479">
      <w:pPr>
        <w:pStyle w:val="Subtitle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14:paraId="51E745E6" w14:textId="77777777" w:rsidR="00CE6479" w:rsidRPr="00E54934" w:rsidRDefault="00FF372D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Enterprise Services Policy No.</w:t>
      </w:r>
      <w:r w:rsidR="00B75D30">
        <w:rPr>
          <w:rFonts w:asciiTheme="minorHAnsi" w:hAnsiTheme="minorHAnsi" w:cstheme="minorHAnsi"/>
        </w:rPr>
        <w:t xml:space="preserve"> </w:t>
      </w:r>
      <w:r w:rsidR="00DB5CE1">
        <w:rPr>
          <w:rFonts w:asciiTheme="minorHAnsi" w:hAnsiTheme="minorHAnsi" w:cstheme="minorHAnsi"/>
        </w:rPr>
        <w:t>POL-DES-090-06</w:t>
      </w:r>
    </w:p>
    <w:p w14:paraId="3071708E" w14:textId="77777777" w:rsidR="00CE6479" w:rsidRPr="00EA3D14" w:rsidRDefault="00DB5CE1" w:rsidP="00295C76">
      <w:pPr>
        <w:pStyle w:val="Title"/>
        <w:rPr>
          <w:rFonts w:ascii="Calibri" w:hAnsi="Calibri"/>
          <w:color w:val="1F3864" w:themeColor="accent5" w:themeShade="80"/>
          <w:sz w:val="36"/>
        </w:rPr>
      </w:pPr>
      <w:r w:rsidRPr="00EA3D14">
        <w:rPr>
          <w:rFonts w:ascii="Calibri" w:hAnsi="Calibri"/>
          <w:color w:val="1F3864" w:themeColor="accent5" w:themeShade="80"/>
        </w:rPr>
        <w:t>Supplier Diversity</w:t>
      </w:r>
    </w:p>
    <w:p w14:paraId="0AF7D5ED" w14:textId="77777777" w:rsidR="002B0F44" w:rsidRPr="00EA3D14" w:rsidRDefault="00CE6479" w:rsidP="002B0F44">
      <w:pPr>
        <w:pStyle w:val="InfoBlock"/>
        <w:pBdr>
          <w:top w:val="single" w:sz="4" w:space="1" w:color="auto"/>
        </w:pBdr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color w:val="000000" w:themeColor="text1"/>
          <w:sz w:val="22"/>
          <w:szCs w:val="22"/>
          <w:lang w:eastAsia="zh-TW"/>
        </w:rPr>
        <w:t>Applies to</w:t>
      </w:r>
      <w:r w:rsidRPr="00EA3D14">
        <w:rPr>
          <w:rFonts w:ascii="Calibri" w:hAnsi="Calibri" w:cstheme="minorHAnsi"/>
          <w:sz w:val="22"/>
          <w:szCs w:val="22"/>
          <w:lang w:eastAsia="zh-TW"/>
        </w:rPr>
        <w:t>:</w:t>
      </w:r>
      <w:r w:rsidR="00BB7877" w:rsidRPr="00EA3D14">
        <w:rPr>
          <w:rFonts w:ascii="Calibri" w:hAnsi="Calibri" w:cstheme="minorHAnsi"/>
          <w:sz w:val="22"/>
          <w:szCs w:val="22"/>
          <w:lang w:eastAsia="zh-TW"/>
        </w:rPr>
        <w:t xml:space="preserve"> </w:t>
      </w:r>
      <w:r w:rsidR="001562B7" w:rsidRPr="00EA3D14">
        <w:rPr>
          <w:rFonts w:ascii="Calibri" w:hAnsi="Calibri" w:cstheme="minorHAnsi"/>
          <w:sz w:val="22"/>
          <w:szCs w:val="22"/>
          <w:lang w:eastAsia="zh-TW"/>
        </w:rPr>
        <w:t xml:space="preserve">Any state office or activity of the executive </w:t>
      </w:r>
      <w:r w:rsidR="007D46A3" w:rsidRPr="00EA3D14">
        <w:rPr>
          <w:rFonts w:ascii="Calibri" w:hAnsi="Calibri" w:cstheme="minorHAnsi"/>
          <w:sz w:val="22"/>
          <w:szCs w:val="22"/>
          <w:lang w:eastAsia="zh-TW"/>
        </w:rPr>
        <w:t>branch</w:t>
      </w:r>
      <w:r w:rsidR="001562B7" w:rsidRPr="00EA3D14">
        <w:rPr>
          <w:rFonts w:ascii="Calibri" w:hAnsi="Calibri" w:cstheme="minorHAnsi"/>
          <w:sz w:val="22"/>
          <w:szCs w:val="22"/>
          <w:lang w:eastAsia="zh-TW"/>
        </w:rPr>
        <w:t xml:space="preserve"> of state government, including state agencies, departments, offices, divisions, boards, commissions, institutions of higher educat</w:t>
      </w:r>
      <w:r w:rsidR="0019011C" w:rsidRPr="00EA3D14">
        <w:rPr>
          <w:rFonts w:ascii="Calibri" w:hAnsi="Calibri" w:cstheme="minorHAnsi"/>
          <w:sz w:val="22"/>
          <w:szCs w:val="22"/>
          <w:lang w:eastAsia="zh-TW"/>
        </w:rPr>
        <w:t>ion as defined in</w:t>
      </w:r>
      <w:r w:rsidR="00D7056D" w:rsidRPr="00EA3D14">
        <w:rPr>
          <w:rFonts w:ascii="Calibri" w:hAnsi="Calibri" w:cstheme="minorHAnsi"/>
          <w:color w:val="FF0000"/>
          <w:sz w:val="22"/>
          <w:szCs w:val="22"/>
          <w:lang w:eastAsia="zh-TW"/>
        </w:rPr>
        <w:t xml:space="preserve"> </w:t>
      </w:r>
      <w:hyperlink r:id="rId11" w:history="1">
        <w:r w:rsidR="00D7056D" w:rsidRPr="00EA3D14">
          <w:rPr>
            <w:rStyle w:val="Hyperlink"/>
            <w:rFonts w:ascii="Calibri" w:hAnsi="Calibri" w:cstheme="minorHAnsi"/>
            <w:sz w:val="22"/>
            <w:szCs w:val="22"/>
            <w:lang w:eastAsia="zh-TW"/>
          </w:rPr>
          <w:t>RCW 28B.10.016</w:t>
        </w:r>
      </w:hyperlink>
      <w:r w:rsidR="001562B7" w:rsidRPr="00EA3D14">
        <w:rPr>
          <w:rFonts w:ascii="Calibri" w:hAnsi="Calibri" w:cstheme="minorHAnsi"/>
          <w:color w:val="FF0000"/>
          <w:sz w:val="22"/>
          <w:szCs w:val="22"/>
          <w:lang w:eastAsia="zh-TW"/>
        </w:rPr>
        <w:t xml:space="preserve"> </w:t>
      </w:r>
      <w:r w:rsidR="001562B7" w:rsidRPr="00EA3D14">
        <w:rPr>
          <w:rFonts w:ascii="Calibri" w:hAnsi="Calibri" w:cstheme="minorHAnsi"/>
          <w:sz w:val="22"/>
          <w:szCs w:val="22"/>
          <w:lang w:eastAsia="zh-TW"/>
        </w:rPr>
        <w:t>and correctional and other types of institutions</w:t>
      </w:r>
      <w:r w:rsidR="005C5D1E" w:rsidRPr="00EA3D14">
        <w:rPr>
          <w:rFonts w:ascii="Calibri" w:hAnsi="Calibri" w:cstheme="minorHAnsi"/>
          <w:sz w:val="22"/>
          <w:szCs w:val="22"/>
          <w:lang w:eastAsia="zh-TW"/>
        </w:rPr>
        <w:t xml:space="preserve"> (</w:t>
      </w:r>
      <w:hyperlink r:id="rId12" w:history="1">
        <w:r w:rsidR="005C5D1E" w:rsidRPr="00EA3D14">
          <w:rPr>
            <w:rStyle w:val="Hyperlink"/>
            <w:rFonts w:ascii="Calibri" w:hAnsi="Calibri" w:cstheme="minorHAnsi"/>
            <w:sz w:val="22"/>
            <w:szCs w:val="22"/>
            <w:lang w:eastAsia="zh-TW"/>
          </w:rPr>
          <w:t>RCW 39.26.010(1)</w:t>
        </w:r>
      </w:hyperlink>
      <w:r w:rsidR="005C5D1E" w:rsidRPr="00EA3D14">
        <w:rPr>
          <w:rFonts w:ascii="Calibri" w:hAnsi="Calibri" w:cstheme="minorHAnsi"/>
          <w:sz w:val="22"/>
          <w:szCs w:val="22"/>
          <w:lang w:eastAsia="zh-TW"/>
        </w:rPr>
        <w:t>) (</w:t>
      </w:r>
      <w:hyperlink r:id="rId13" w:history="1">
        <w:r w:rsidR="005C5D1E" w:rsidRPr="00EA3D14">
          <w:rPr>
            <w:rStyle w:val="Hyperlink"/>
            <w:rFonts w:ascii="Calibri" w:hAnsi="Calibri" w:cstheme="minorHAnsi"/>
            <w:sz w:val="22"/>
            <w:szCs w:val="22"/>
            <w:lang w:eastAsia="zh-TW"/>
          </w:rPr>
          <w:t>RCW 39.26.100</w:t>
        </w:r>
      </w:hyperlink>
      <w:r w:rsidR="005C5D1E" w:rsidRPr="00EA3D14">
        <w:rPr>
          <w:rFonts w:ascii="Calibri" w:hAnsi="Calibri" w:cstheme="minorHAnsi"/>
          <w:sz w:val="22"/>
          <w:szCs w:val="22"/>
          <w:lang w:eastAsia="zh-TW"/>
        </w:rPr>
        <w:t>) (</w:t>
      </w:r>
      <w:hyperlink r:id="rId14" w:history="1">
        <w:r w:rsidR="005C5D1E" w:rsidRPr="00EA3D14">
          <w:rPr>
            <w:rStyle w:val="Hyperlink"/>
            <w:rFonts w:ascii="Calibri" w:hAnsi="Calibri" w:cstheme="minorHAnsi"/>
            <w:sz w:val="22"/>
            <w:szCs w:val="22"/>
            <w:lang w:eastAsia="zh-TW"/>
          </w:rPr>
          <w:t>RCW 39.26.102</w:t>
        </w:r>
      </w:hyperlink>
      <w:r w:rsidR="005C5D1E" w:rsidRPr="00EA3D14">
        <w:rPr>
          <w:rFonts w:ascii="Calibri" w:hAnsi="Calibri" w:cstheme="minorHAnsi"/>
          <w:sz w:val="22"/>
          <w:szCs w:val="22"/>
          <w:lang w:eastAsia="zh-TW"/>
        </w:rPr>
        <w:t>) governed by RCW 39.26</w:t>
      </w:r>
      <w:r w:rsidR="00B706DF" w:rsidRPr="00EA3D14">
        <w:rPr>
          <w:rFonts w:ascii="Calibri" w:hAnsi="Calibri" w:cstheme="minorHAnsi"/>
          <w:sz w:val="22"/>
          <w:szCs w:val="22"/>
          <w:lang w:eastAsia="zh-TW"/>
        </w:rPr>
        <w:t>.</w:t>
      </w:r>
    </w:p>
    <w:p w14:paraId="60D68C82" w14:textId="77777777" w:rsidR="00CE6479" w:rsidRPr="00EA3D14" w:rsidRDefault="00CE6479" w:rsidP="00495AF9">
      <w:pPr>
        <w:spacing w:after="0" w:line="240" w:lineRule="auto"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  <w:lang w:eastAsia="zh-TW" w:bidi="en-US"/>
        </w:rPr>
        <w:t>Authorizing sources</w:t>
      </w:r>
      <w:r w:rsidRPr="00EA3D14">
        <w:rPr>
          <w:rFonts w:ascii="Calibri" w:hAnsi="Calibri" w:cstheme="minorHAnsi"/>
          <w:lang w:eastAsia="zh-TW" w:bidi="en-US"/>
        </w:rPr>
        <w:t>:</w:t>
      </w:r>
    </w:p>
    <w:p w14:paraId="21D945E6" w14:textId="77777777" w:rsidR="00625432" w:rsidRPr="00EA3D14" w:rsidRDefault="004472B0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  <w:lang w:bidi="ar-SA"/>
        </w:rPr>
      </w:pPr>
      <w:r w:rsidRPr="00EA3D14">
        <w:rPr>
          <w:rFonts w:ascii="Calibri" w:hAnsi="Calibri" w:cstheme="minorHAnsi"/>
          <w:sz w:val="22"/>
          <w:szCs w:val="22"/>
        </w:rPr>
        <w:t>State Law</w:t>
      </w:r>
      <w:r w:rsidR="0075761B" w:rsidRPr="00EA3D14">
        <w:rPr>
          <w:rFonts w:ascii="Calibri" w:hAnsi="Calibri" w:cstheme="minorHAnsi"/>
          <w:sz w:val="22"/>
          <w:szCs w:val="22"/>
        </w:rPr>
        <w:t xml:space="preserve"> </w:t>
      </w:r>
      <w:hyperlink r:id="rId15" w:history="1">
        <w:r w:rsidR="009C7FB8"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39.26.090(6)</w:t>
        </w:r>
      </w:hyperlink>
    </w:p>
    <w:p w14:paraId="275B46E6" w14:textId="77777777" w:rsidR="00DB5CE1" w:rsidRPr="00EA3D14" w:rsidRDefault="00DB5CE1" w:rsidP="00E545D3">
      <w:pPr>
        <w:pStyle w:val="InfoBlock"/>
        <w:numPr>
          <w:ilvl w:val="0"/>
          <w:numId w:val="1"/>
        </w:numPr>
        <w:spacing w:before="0" w:after="0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 xml:space="preserve">State Law </w:t>
      </w:r>
      <w:hyperlink r:id="rId16" w:history="1">
        <w:r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39.26.005</w:t>
        </w:r>
      </w:hyperlink>
    </w:p>
    <w:p w14:paraId="73BB9DD3" w14:textId="77777777" w:rsidR="00CE6479" w:rsidRPr="00EA3D14" w:rsidRDefault="004472B0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 w:rsidRPr="00EA3D14">
        <w:rPr>
          <w:rFonts w:ascii="Calibri" w:hAnsi="Calibri" w:cstheme="minorHAnsi"/>
          <w:sz w:val="22"/>
          <w:szCs w:val="22"/>
        </w:rPr>
        <w:t>State Law</w:t>
      </w:r>
      <w:r w:rsidR="00625432" w:rsidRPr="00EA3D14">
        <w:rPr>
          <w:rFonts w:ascii="Calibri" w:hAnsi="Calibri" w:cstheme="minorHAnsi"/>
          <w:sz w:val="22"/>
          <w:szCs w:val="22"/>
        </w:rPr>
        <w:t xml:space="preserve"> </w:t>
      </w:r>
      <w:hyperlink r:id="rId17" w:history="1">
        <w:r w:rsidR="009C7FB8"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39.26.240</w:t>
        </w:r>
      </w:hyperlink>
    </w:p>
    <w:p w14:paraId="7FA2914C" w14:textId="77777777" w:rsidR="00DB5CE1" w:rsidRPr="00EA3D14" w:rsidRDefault="00DB5CE1" w:rsidP="00E545D3">
      <w:pPr>
        <w:pStyle w:val="InfoBlock"/>
        <w:numPr>
          <w:ilvl w:val="0"/>
          <w:numId w:val="1"/>
        </w:numPr>
        <w:spacing w:before="0" w:after="0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 xml:space="preserve">State Law </w:t>
      </w:r>
      <w:hyperlink r:id="rId18" w:anchor="39.26.245" w:history="1">
        <w:r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39.26.245</w:t>
        </w:r>
      </w:hyperlink>
    </w:p>
    <w:p w14:paraId="1AAD154F" w14:textId="77777777" w:rsidR="00AD7742" w:rsidRPr="00EA3D14" w:rsidRDefault="00AD7742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 w:rsidRPr="00EA3D14">
        <w:rPr>
          <w:rFonts w:ascii="Calibri" w:hAnsi="Calibri" w:cstheme="minorHAnsi"/>
          <w:sz w:val="22"/>
          <w:szCs w:val="22"/>
        </w:rPr>
        <w:t xml:space="preserve">State Law </w:t>
      </w:r>
      <w:hyperlink r:id="rId19" w:history="1">
        <w:r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39.26.160(3)(b)</w:t>
        </w:r>
      </w:hyperlink>
    </w:p>
    <w:p w14:paraId="7D17458C" w14:textId="77777777" w:rsidR="0075761B" w:rsidRPr="00EA3D14" w:rsidRDefault="0063347B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 w:rsidRPr="00EA3D14">
        <w:rPr>
          <w:rFonts w:ascii="Calibri" w:hAnsi="Calibri" w:cstheme="minorHAnsi"/>
          <w:sz w:val="22"/>
          <w:szCs w:val="22"/>
        </w:rPr>
        <w:t xml:space="preserve">State Law </w:t>
      </w:r>
      <w:hyperlink r:id="rId20" w:history="1">
        <w:r w:rsidR="009C7FB8"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43.60A.200</w:t>
        </w:r>
      </w:hyperlink>
    </w:p>
    <w:p w14:paraId="00D40180" w14:textId="77777777" w:rsidR="009C7FB8" w:rsidRPr="00EA3D14" w:rsidRDefault="009C7FB8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r w:rsidRPr="00EA3D14">
        <w:rPr>
          <w:rFonts w:ascii="Calibri" w:hAnsi="Calibri" w:cstheme="minorHAnsi"/>
          <w:sz w:val="22"/>
          <w:szCs w:val="22"/>
        </w:rPr>
        <w:t xml:space="preserve">State Law </w:t>
      </w:r>
      <w:hyperlink r:id="rId21" w:history="1">
        <w:r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RCW 39.26.010</w:t>
        </w:r>
      </w:hyperlink>
    </w:p>
    <w:p w14:paraId="604A45DE" w14:textId="77777777" w:rsidR="00727E87" w:rsidRPr="00EA3D14" w:rsidRDefault="00892492" w:rsidP="00E545D3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="Calibri" w:hAnsi="Calibri" w:cstheme="minorHAnsi"/>
          <w:color w:val="auto"/>
          <w:sz w:val="22"/>
          <w:szCs w:val="22"/>
          <w:u w:val="none"/>
        </w:rPr>
      </w:pPr>
      <w:hyperlink r:id="rId22" w:history="1">
        <w:r w:rsidR="00727E87"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Executive Order 19-01</w:t>
        </w:r>
      </w:hyperlink>
    </w:p>
    <w:p w14:paraId="1C674299" w14:textId="77777777" w:rsidR="00E471C8" w:rsidRPr="00495AF9" w:rsidRDefault="00892492" w:rsidP="00495AF9">
      <w:pPr>
        <w:pStyle w:val="InfoBlock"/>
        <w:numPr>
          <w:ilvl w:val="0"/>
          <w:numId w:val="1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3" w:history="1">
        <w:r w:rsidR="00E471C8" w:rsidRPr="00EA3D14">
          <w:rPr>
            <w:rStyle w:val="Hyperlink"/>
            <w:rFonts w:ascii="Calibri" w:hAnsi="Calibri" w:cstheme="minorHAnsi"/>
            <w:b/>
            <w:sz w:val="22"/>
            <w:szCs w:val="22"/>
          </w:rPr>
          <w:t>DES Policy 210-01</w:t>
        </w:r>
      </w:hyperlink>
    </w:p>
    <w:p w14:paraId="4072AA91" w14:textId="77777777" w:rsidR="00495AF9" w:rsidRPr="009C7FB8" w:rsidRDefault="00495AF9" w:rsidP="00495AF9">
      <w:pPr>
        <w:pStyle w:val="InfoBlock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0A06655B" w14:textId="77777777" w:rsidR="003E7D68" w:rsidRDefault="003E7D68" w:rsidP="00495AF9">
      <w:pPr>
        <w:spacing w:after="0" w:line="240" w:lineRule="auto"/>
        <w:rPr>
          <w:rFonts w:cstheme="minorHAnsi"/>
          <w:lang w:eastAsia="zh-TW" w:bidi="en-US"/>
        </w:rPr>
      </w:pPr>
      <w:r>
        <w:rPr>
          <w:rFonts w:cstheme="minorHAnsi"/>
          <w:b/>
          <w:lang w:eastAsia="zh-TW" w:bidi="en-US"/>
        </w:rPr>
        <w:t>Related</w:t>
      </w:r>
      <w:r w:rsidRPr="00D5112F">
        <w:rPr>
          <w:rFonts w:cstheme="minorHAnsi"/>
          <w:b/>
          <w:lang w:eastAsia="zh-TW" w:bidi="en-US"/>
        </w:rPr>
        <w:t xml:space="preserve"> sources</w:t>
      </w:r>
      <w:r w:rsidRPr="003E7D68">
        <w:rPr>
          <w:rFonts w:cstheme="minorHAnsi"/>
          <w:lang w:eastAsia="zh-TW" w:bidi="en-US"/>
        </w:rPr>
        <w:t>:</w:t>
      </w:r>
    </w:p>
    <w:p w14:paraId="326AFE05" w14:textId="77777777" w:rsidR="003E7D68" w:rsidRDefault="0009586F" w:rsidP="002C4FA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eastAsia="zh-TW" w:bidi="en-US"/>
        </w:rPr>
      </w:pPr>
      <w:r>
        <w:rPr>
          <w:rFonts w:cstheme="minorHAnsi"/>
          <w:lang w:eastAsia="zh-TW" w:bidi="en-US"/>
        </w:rPr>
        <w:t xml:space="preserve">State Law </w:t>
      </w:r>
      <w:hyperlink r:id="rId24" w:history="1">
        <w:r w:rsidRPr="0009586F">
          <w:rPr>
            <w:rStyle w:val="Hyperlink"/>
            <w:rFonts w:cstheme="minorHAnsi"/>
            <w:b/>
            <w:lang w:eastAsia="zh-TW" w:bidi="en-US"/>
          </w:rPr>
          <w:t xml:space="preserve">RCW </w:t>
        </w:r>
        <w:r w:rsidR="003E7D68" w:rsidRPr="0009586F">
          <w:rPr>
            <w:rStyle w:val="Hyperlink"/>
            <w:rFonts w:cstheme="minorHAnsi"/>
            <w:b/>
            <w:lang w:eastAsia="zh-TW" w:bidi="en-US"/>
          </w:rPr>
          <w:t>39.19.010</w:t>
        </w:r>
      </w:hyperlink>
    </w:p>
    <w:p w14:paraId="4D9FD4DE" w14:textId="77777777" w:rsidR="003E7D68" w:rsidRDefault="0009586F" w:rsidP="002C4FA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lang w:eastAsia="zh-TW" w:bidi="en-US"/>
        </w:rPr>
      </w:pPr>
      <w:r>
        <w:rPr>
          <w:rFonts w:cstheme="minorHAnsi"/>
          <w:lang w:eastAsia="zh-TW" w:bidi="en-US"/>
        </w:rPr>
        <w:t xml:space="preserve">State Law </w:t>
      </w:r>
      <w:hyperlink r:id="rId25" w:history="1">
        <w:r w:rsidRPr="0009586F">
          <w:rPr>
            <w:rStyle w:val="Hyperlink"/>
            <w:rFonts w:cstheme="minorHAnsi"/>
            <w:b/>
            <w:lang w:eastAsia="zh-TW" w:bidi="en-US"/>
          </w:rPr>
          <w:t xml:space="preserve">RCW </w:t>
        </w:r>
        <w:r w:rsidR="003E7D68" w:rsidRPr="0009586F">
          <w:rPr>
            <w:rStyle w:val="Hyperlink"/>
            <w:rFonts w:cstheme="minorHAnsi"/>
            <w:b/>
            <w:lang w:eastAsia="zh-TW" w:bidi="en-US"/>
          </w:rPr>
          <w:t>39.19.030</w:t>
        </w:r>
      </w:hyperlink>
    </w:p>
    <w:p w14:paraId="07B61454" w14:textId="77777777" w:rsidR="003E7D68" w:rsidRDefault="0009586F" w:rsidP="002C4FA0">
      <w:pPr>
        <w:pStyle w:val="ListParagraph"/>
        <w:numPr>
          <w:ilvl w:val="0"/>
          <w:numId w:val="5"/>
        </w:numPr>
        <w:spacing w:after="0"/>
        <w:rPr>
          <w:rFonts w:cstheme="minorHAnsi"/>
          <w:lang w:eastAsia="zh-TW" w:bidi="en-US"/>
        </w:rPr>
      </w:pPr>
      <w:r>
        <w:rPr>
          <w:rFonts w:cstheme="minorHAnsi"/>
          <w:lang w:eastAsia="zh-TW" w:bidi="en-US"/>
        </w:rPr>
        <w:t xml:space="preserve">State Law </w:t>
      </w:r>
      <w:hyperlink r:id="rId26" w:history="1">
        <w:r w:rsidRPr="0009586F">
          <w:rPr>
            <w:rStyle w:val="Hyperlink"/>
            <w:rFonts w:cstheme="minorHAnsi"/>
            <w:b/>
            <w:lang w:eastAsia="zh-TW" w:bidi="en-US"/>
          </w:rPr>
          <w:t xml:space="preserve">RCW </w:t>
        </w:r>
        <w:r w:rsidR="003E7D68" w:rsidRPr="0009586F">
          <w:rPr>
            <w:rStyle w:val="Hyperlink"/>
            <w:rFonts w:cstheme="minorHAnsi"/>
            <w:b/>
            <w:lang w:eastAsia="zh-TW" w:bidi="en-US"/>
          </w:rPr>
          <w:t>39.19.060</w:t>
        </w:r>
      </w:hyperlink>
    </w:p>
    <w:p w14:paraId="6F369F86" w14:textId="77777777" w:rsidR="003E7D68" w:rsidRPr="0009586F" w:rsidRDefault="00892492" w:rsidP="002C4FA0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lang w:eastAsia="zh-TW" w:bidi="en-US"/>
        </w:rPr>
      </w:pPr>
      <w:hyperlink r:id="rId27" w:history="1">
        <w:r w:rsidR="003E7D68" w:rsidRPr="0009586F">
          <w:rPr>
            <w:rStyle w:val="Hyperlink"/>
            <w:rFonts w:cstheme="minorHAnsi"/>
            <w:b/>
            <w:lang w:eastAsia="zh-TW" w:bidi="en-US"/>
          </w:rPr>
          <w:t>Executive Order 05-03</w:t>
        </w:r>
      </w:hyperlink>
    </w:p>
    <w:p w14:paraId="1D92BCAF" w14:textId="77777777" w:rsidR="009A7808" w:rsidRDefault="009A7808" w:rsidP="00AD6B32">
      <w:pPr>
        <w:spacing w:after="60" w:line="240" w:lineRule="auto"/>
        <w:contextualSpacing/>
        <w:rPr>
          <w:rFonts w:cstheme="minorHAnsi"/>
          <w:b/>
          <w:lang w:eastAsia="zh-TW" w:bidi="en-US"/>
        </w:rPr>
      </w:pPr>
    </w:p>
    <w:p w14:paraId="215D59B9" w14:textId="77777777" w:rsidR="00CE6479" w:rsidRPr="00EA3D14" w:rsidRDefault="00CE6479" w:rsidP="00EA3D14">
      <w:pPr>
        <w:spacing w:after="0" w:line="360" w:lineRule="auto"/>
        <w:contextualSpacing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  <w:lang w:eastAsia="zh-TW" w:bidi="en-US"/>
        </w:rPr>
        <w:t>Effective date</w:t>
      </w:r>
      <w:r w:rsidRPr="00EA3D14">
        <w:rPr>
          <w:rFonts w:ascii="Calibri" w:hAnsi="Calibri" w:cstheme="minorHAnsi"/>
          <w:lang w:eastAsia="zh-TW" w:bidi="en-US"/>
        </w:rPr>
        <w:t xml:space="preserve">: </w:t>
      </w:r>
      <w:r w:rsidR="00DB5CE1" w:rsidRPr="00EA3D14">
        <w:rPr>
          <w:rFonts w:ascii="Calibri" w:hAnsi="Calibri" w:cstheme="minorHAnsi"/>
          <w:highlight w:val="yellow"/>
        </w:rPr>
        <w:t>______________</w:t>
      </w:r>
    </w:p>
    <w:p w14:paraId="1547C103" w14:textId="77777777" w:rsidR="00CE6479" w:rsidRPr="00EA3D14" w:rsidRDefault="00CE6479" w:rsidP="00EA3D14">
      <w:pPr>
        <w:spacing w:after="0" w:line="360" w:lineRule="auto"/>
        <w:contextualSpacing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  <w:lang w:eastAsia="zh-TW" w:bidi="en-US"/>
        </w:rPr>
        <w:t>Last update</w:t>
      </w:r>
      <w:r w:rsidR="00DC7C2B">
        <w:rPr>
          <w:rFonts w:ascii="Calibri" w:hAnsi="Calibri" w:cstheme="minorHAnsi"/>
          <w:lang w:eastAsia="zh-TW" w:bidi="en-US"/>
        </w:rPr>
        <w:t>:</w:t>
      </w:r>
      <w:r w:rsidR="00C666A6" w:rsidRPr="00EA3D14">
        <w:rPr>
          <w:rFonts w:ascii="Calibri" w:hAnsi="Calibri" w:cstheme="minorHAnsi"/>
        </w:rPr>
        <w:t xml:space="preserve"> </w:t>
      </w:r>
      <w:r w:rsidR="00964413" w:rsidRPr="00EA3D14">
        <w:rPr>
          <w:rFonts w:ascii="Calibri" w:hAnsi="Calibri" w:cstheme="minorHAnsi"/>
        </w:rPr>
        <w:t>N/A</w:t>
      </w:r>
    </w:p>
    <w:p w14:paraId="7CC44968" w14:textId="77777777" w:rsidR="00CE6479" w:rsidRPr="00EA3D14" w:rsidRDefault="00CE6479" w:rsidP="00EA3D14">
      <w:pPr>
        <w:spacing w:after="0" w:line="360" w:lineRule="auto"/>
        <w:contextualSpacing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  <w:lang w:eastAsia="zh-TW" w:bidi="en-US"/>
        </w:rPr>
        <w:t>Sunset review date</w:t>
      </w:r>
      <w:r w:rsidR="00803285" w:rsidRPr="00EA3D14">
        <w:rPr>
          <w:rFonts w:ascii="Calibri" w:hAnsi="Calibri" w:cs="Arial"/>
          <w:szCs w:val="24"/>
          <w:lang w:bidi="en-US"/>
        </w:rPr>
        <w:t xml:space="preserve">: </w:t>
      </w:r>
      <w:r w:rsidR="00661A3F" w:rsidRPr="00EA3D14">
        <w:rPr>
          <w:rFonts w:ascii="Calibri" w:hAnsi="Calibri" w:cstheme="minorHAnsi"/>
        </w:rPr>
        <w:t xml:space="preserve">5 </w:t>
      </w:r>
      <w:r w:rsidR="00DB5CE1" w:rsidRPr="00EA3D14">
        <w:rPr>
          <w:rFonts w:ascii="Calibri" w:hAnsi="Calibri" w:cstheme="minorHAnsi"/>
        </w:rPr>
        <w:t>years from Effective date</w:t>
      </w:r>
    </w:p>
    <w:p w14:paraId="11411943" w14:textId="5CAC7765" w:rsidR="00F935E8" w:rsidRPr="00EA3D14" w:rsidRDefault="00CE6479" w:rsidP="00EA3D14">
      <w:pPr>
        <w:pStyle w:val="InfoBlock"/>
        <w:spacing w:before="0" w:after="0" w:line="360" w:lineRule="auto"/>
        <w:contextualSpacing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b/>
          <w:sz w:val="22"/>
          <w:szCs w:val="22"/>
          <w:lang w:eastAsia="zh-TW"/>
        </w:rPr>
        <w:t>Approved by</w:t>
      </w:r>
      <w:r w:rsidRPr="00EA3D14">
        <w:rPr>
          <w:rFonts w:ascii="Calibri" w:hAnsi="Calibri" w:cstheme="minorHAnsi"/>
          <w:sz w:val="22"/>
          <w:szCs w:val="22"/>
          <w:lang w:eastAsia="zh-TW"/>
        </w:rPr>
        <w:t xml:space="preserve">: </w:t>
      </w:r>
      <w:r w:rsidR="00F35E2E" w:rsidRPr="00EA3D14">
        <w:rPr>
          <w:rFonts w:ascii="Calibri" w:hAnsi="Calibri" w:cstheme="minorHAnsi"/>
          <w:sz w:val="22"/>
          <w:szCs w:val="22"/>
          <w:lang w:eastAsia="zh-TW"/>
        </w:rPr>
        <w:t>_______________________________________</w:t>
      </w:r>
      <w:r w:rsidR="00F01EB6" w:rsidRPr="00EA3D14">
        <w:rPr>
          <w:rFonts w:ascii="Calibri" w:hAnsi="Calibri" w:cstheme="minorHAnsi"/>
          <w:sz w:val="22"/>
          <w:szCs w:val="22"/>
        </w:rPr>
        <w:t>, Director</w:t>
      </w:r>
    </w:p>
    <w:p w14:paraId="0972EA32" w14:textId="77777777" w:rsidR="00CE6479" w:rsidRPr="00EA3D14" w:rsidRDefault="00B17253" w:rsidP="00295C76">
      <w:pPr>
        <w:pStyle w:val="Heading1"/>
        <w:rPr>
          <w:rFonts w:asciiTheme="minorHAnsi" w:hAnsiTheme="minorHAnsi" w:cstheme="minorHAnsi"/>
        </w:rPr>
      </w:pPr>
      <w:r w:rsidRPr="00EA3D14">
        <w:rPr>
          <w:rFonts w:asciiTheme="minorHAnsi" w:hAnsiTheme="minorHAnsi" w:cstheme="minorHAnsi"/>
        </w:rPr>
        <w:t>Reason for Policy</w:t>
      </w:r>
    </w:p>
    <w:p w14:paraId="188F4540" w14:textId="77777777" w:rsidR="006D1211" w:rsidRDefault="006D1211" w:rsidP="00EA3D14">
      <w:pPr>
        <w:spacing w:after="0" w:line="240" w:lineRule="auto"/>
        <w:rPr>
          <w:rFonts w:ascii="Calibri" w:hAnsi="Calibri"/>
        </w:rPr>
      </w:pPr>
      <w:r w:rsidRPr="00EA3D14">
        <w:rPr>
          <w:rFonts w:ascii="Calibri" w:hAnsi="Calibri"/>
        </w:rPr>
        <w:t xml:space="preserve">The purpose of this policy is to ensure that all procurement professionals use race and gender neutral strategies to increase the amount of contracts </w:t>
      </w:r>
      <w:r w:rsidR="00B65874" w:rsidRPr="00EA3D14">
        <w:rPr>
          <w:rFonts w:ascii="Calibri" w:hAnsi="Calibri"/>
        </w:rPr>
        <w:t xml:space="preserve">that are </w:t>
      </w:r>
      <w:r w:rsidRPr="00EA3D14">
        <w:rPr>
          <w:rFonts w:ascii="Calibri" w:hAnsi="Calibri"/>
        </w:rPr>
        <w:t>awarded to small</w:t>
      </w:r>
      <w:r w:rsidR="001B0FF4" w:rsidRPr="00EA3D14">
        <w:rPr>
          <w:rFonts w:ascii="Calibri" w:hAnsi="Calibri"/>
        </w:rPr>
        <w:t>, diverse,</w:t>
      </w:r>
      <w:r w:rsidR="00B10B50" w:rsidRPr="00EA3D14">
        <w:rPr>
          <w:rFonts w:ascii="Calibri" w:hAnsi="Calibri"/>
        </w:rPr>
        <w:t xml:space="preserve"> </w:t>
      </w:r>
      <w:r w:rsidRPr="00EA3D14">
        <w:rPr>
          <w:rFonts w:ascii="Calibri" w:hAnsi="Calibri"/>
        </w:rPr>
        <w:t>and veteran</w:t>
      </w:r>
      <w:r w:rsidR="00B65874" w:rsidRPr="00EA3D14">
        <w:rPr>
          <w:rFonts w:ascii="Calibri" w:hAnsi="Calibri"/>
        </w:rPr>
        <w:t>-</w:t>
      </w:r>
      <w:r w:rsidRPr="00EA3D14">
        <w:rPr>
          <w:rFonts w:ascii="Calibri" w:hAnsi="Calibri"/>
        </w:rPr>
        <w:t>owned businesses.</w:t>
      </w:r>
    </w:p>
    <w:p w14:paraId="4B606DDC" w14:textId="77777777" w:rsidR="00EA3D14" w:rsidRPr="00EA3D14" w:rsidRDefault="00EA3D14" w:rsidP="00EA3D14">
      <w:pPr>
        <w:spacing w:after="0" w:line="240" w:lineRule="auto"/>
        <w:rPr>
          <w:rFonts w:ascii="Calibri" w:hAnsi="Calibri"/>
        </w:rPr>
      </w:pPr>
    </w:p>
    <w:p w14:paraId="4D6360F2" w14:textId="77777777" w:rsidR="006D1211" w:rsidRDefault="001B0FF4" w:rsidP="00EA3D14">
      <w:pPr>
        <w:spacing w:after="0" w:line="240" w:lineRule="auto"/>
        <w:rPr>
          <w:rFonts w:ascii="Calibri" w:hAnsi="Calibri"/>
          <w:lang w:bidi="en-US"/>
        </w:rPr>
      </w:pPr>
      <w:r w:rsidRPr="00EA3D14">
        <w:rPr>
          <w:rFonts w:ascii="Calibri" w:hAnsi="Calibri"/>
          <w:lang w:bidi="en-US"/>
        </w:rPr>
        <w:t>Small, diverse,</w:t>
      </w:r>
      <w:r w:rsidR="00B10B50" w:rsidRPr="00EA3D14">
        <w:rPr>
          <w:rFonts w:ascii="Calibri" w:hAnsi="Calibri"/>
          <w:lang w:bidi="en-US"/>
        </w:rPr>
        <w:t xml:space="preserve"> </w:t>
      </w:r>
      <w:r w:rsidR="006D1211" w:rsidRPr="00EA3D14">
        <w:rPr>
          <w:rFonts w:ascii="Calibri" w:hAnsi="Calibri"/>
          <w:lang w:bidi="en-US"/>
        </w:rPr>
        <w:t>and veteran</w:t>
      </w:r>
      <w:r w:rsidR="00B10B50" w:rsidRPr="00EA3D14">
        <w:rPr>
          <w:rFonts w:ascii="Calibri" w:hAnsi="Calibri"/>
          <w:lang w:bidi="en-US"/>
        </w:rPr>
        <w:t>-</w:t>
      </w:r>
      <w:r w:rsidR="006D1211" w:rsidRPr="00EA3D14">
        <w:rPr>
          <w:rFonts w:ascii="Calibri" w:hAnsi="Calibri"/>
          <w:lang w:bidi="en-US"/>
        </w:rPr>
        <w:t>owned businesses face barriers that prevent their equitable access to state goods and services contracts and procurements, including the underutilization of these businesses as subcontractors.</w:t>
      </w:r>
      <w:r w:rsidR="00D24170" w:rsidRPr="00EA3D14">
        <w:rPr>
          <w:rFonts w:ascii="Calibri" w:hAnsi="Calibri"/>
          <w:lang w:bidi="en-US"/>
        </w:rPr>
        <w:t xml:space="preserve"> </w:t>
      </w:r>
      <w:r w:rsidR="00D24170" w:rsidRPr="00EA3D14">
        <w:rPr>
          <w:rFonts w:ascii="Calibri" w:hAnsi="Calibri"/>
        </w:rPr>
        <w:t xml:space="preserve">Specifically, the legislature finds that minority and women-owned businesses are significantly under-represented and have been denied equitable competitive opportunities in contracting. </w:t>
      </w:r>
      <w:r w:rsidR="006D1211" w:rsidRPr="00EA3D14">
        <w:rPr>
          <w:rFonts w:ascii="Calibri" w:hAnsi="Calibri"/>
          <w:lang w:bidi="en-US"/>
        </w:rPr>
        <w:t xml:space="preserve">The legislature directs state agencies to develop procurement policies, procedures, and materials that encourage and facilitate the purchases of goods and/or services from </w:t>
      </w:r>
      <w:r w:rsidRPr="00EA3D14">
        <w:rPr>
          <w:rFonts w:ascii="Calibri" w:hAnsi="Calibri"/>
          <w:lang w:bidi="en-US"/>
        </w:rPr>
        <w:t>small, diverse,</w:t>
      </w:r>
      <w:r w:rsidR="006D1211" w:rsidRPr="00EA3D14">
        <w:rPr>
          <w:rFonts w:ascii="Calibri" w:hAnsi="Calibri"/>
          <w:lang w:bidi="en-US"/>
        </w:rPr>
        <w:t xml:space="preserve"> and veteran</w:t>
      </w:r>
      <w:r w:rsidR="00B10B50" w:rsidRPr="00EA3D14">
        <w:rPr>
          <w:rFonts w:ascii="Calibri" w:hAnsi="Calibri"/>
          <w:lang w:bidi="en-US"/>
        </w:rPr>
        <w:t>-</w:t>
      </w:r>
      <w:r w:rsidR="006D1211" w:rsidRPr="00EA3D14">
        <w:rPr>
          <w:rFonts w:ascii="Calibri" w:hAnsi="Calibri"/>
          <w:lang w:bidi="en-US"/>
        </w:rPr>
        <w:t>owned businesses to the maximum extent practicable.</w:t>
      </w:r>
      <w:r w:rsidR="003F1FDB" w:rsidRPr="00EA3D14">
        <w:rPr>
          <w:rFonts w:ascii="Calibri" w:hAnsi="Calibri"/>
          <w:lang w:bidi="en-US"/>
        </w:rPr>
        <w:t xml:space="preserve"> </w:t>
      </w:r>
    </w:p>
    <w:p w14:paraId="788AFD73" w14:textId="77777777" w:rsidR="00523A05" w:rsidRPr="00EA3D14" w:rsidRDefault="00523A05" w:rsidP="00EA3D14">
      <w:pPr>
        <w:spacing w:after="0" w:line="240" w:lineRule="auto"/>
        <w:rPr>
          <w:rFonts w:ascii="Calibri" w:hAnsi="Calibri"/>
        </w:rPr>
      </w:pPr>
    </w:p>
    <w:p w14:paraId="072A274E" w14:textId="48D566E1" w:rsidR="007011EB" w:rsidRDefault="00B10B50" w:rsidP="00EA3D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 w:rsidRPr="00EA3D14">
        <w:rPr>
          <w:rFonts w:ascii="Calibri" w:hAnsi="Calibri" w:cstheme="minorHAnsi"/>
        </w:rPr>
        <w:lastRenderedPageBreak/>
        <w:t>T</w:t>
      </w:r>
      <w:r w:rsidR="00727E87" w:rsidRPr="00EA3D14">
        <w:rPr>
          <w:rFonts w:ascii="Calibri" w:hAnsi="Calibri" w:cstheme="minorHAnsi"/>
        </w:rPr>
        <w:t>he</w:t>
      </w:r>
      <w:r w:rsidR="0009586F" w:rsidRPr="00EA3D14">
        <w:rPr>
          <w:rFonts w:ascii="Calibri" w:hAnsi="Calibri" w:cstheme="minorHAnsi"/>
        </w:rPr>
        <w:t xml:space="preserve"> state</w:t>
      </w:r>
      <w:r w:rsidR="008C3EC6" w:rsidRPr="00EA3D14">
        <w:rPr>
          <w:rFonts w:ascii="Calibri" w:hAnsi="Calibri" w:cstheme="minorHAnsi"/>
        </w:rPr>
        <w:t xml:space="preserve"> </w:t>
      </w:r>
      <w:r w:rsidR="00503677" w:rsidRPr="00EA3D14">
        <w:rPr>
          <w:rFonts w:ascii="Calibri" w:hAnsi="Calibri" w:cstheme="minorHAnsi"/>
        </w:rPr>
        <w:t>promotes the</w:t>
      </w:r>
      <w:r w:rsidR="008C3EC6" w:rsidRPr="00EA3D14">
        <w:rPr>
          <w:rFonts w:ascii="Calibri" w:hAnsi="Calibri" w:cstheme="minorHAnsi"/>
        </w:rPr>
        <w:t xml:space="preserve"> purchase</w:t>
      </w:r>
      <w:r w:rsidR="00503677" w:rsidRPr="00EA3D14">
        <w:rPr>
          <w:rFonts w:ascii="Calibri" w:hAnsi="Calibri" w:cstheme="minorHAnsi"/>
        </w:rPr>
        <w:t xml:space="preserve"> of</w:t>
      </w:r>
      <w:r w:rsidR="008C3EC6" w:rsidRPr="00EA3D14">
        <w:rPr>
          <w:rFonts w:ascii="Calibri" w:hAnsi="Calibri" w:cstheme="minorHAnsi"/>
        </w:rPr>
        <w:t xml:space="preserve"> goods an</w:t>
      </w:r>
      <w:r w:rsidR="007C540E" w:rsidRPr="00EA3D14">
        <w:rPr>
          <w:rFonts w:ascii="Calibri" w:hAnsi="Calibri" w:cstheme="minorHAnsi"/>
        </w:rPr>
        <w:t>d services from Washington small businesses</w:t>
      </w:r>
      <w:r w:rsidR="002F08CF" w:rsidRPr="00EA3D14">
        <w:rPr>
          <w:rFonts w:ascii="Calibri" w:hAnsi="Calibri" w:cstheme="minorHAnsi"/>
        </w:rPr>
        <w:t>, diverse</w:t>
      </w:r>
      <w:r w:rsidR="007C540E" w:rsidRPr="00EA3D14">
        <w:rPr>
          <w:rFonts w:ascii="Calibri" w:hAnsi="Calibri" w:cstheme="minorHAnsi"/>
        </w:rPr>
        <w:t xml:space="preserve"> and</w:t>
      </w:r>
      <w:r w:rsidR="00DC7C2B">
        <w:rPr>
          <w:rFonts w:ascii="Calibri" w:hAnsi="Calibri" w:cstheme="minorHAnsi"/>
        </w:rPr>
        <w:t xml:space="preserve"> </w:t>
      </w:r>
      <w:r w:rsidR="007C540E" w:rsidRPr="00EA3D14">
        <w:rPr>
          <w:rFonts w:ascii="Calibri" w:hAnsi="Calibri" w:cstheme="minorHAnsi"/>
        </w:rPr>
        <w:t>veteran</w:t>
      </w:r>
      <w:r w:rsidR="00727A6F" w:rsidRPr="00EA3D14">
        <w:rPr>
          <w:rFonts w:ascii="Calibri" w:hAnsi="Calibri" w:cstheme="minorHAnsi"/>
        </w:rPr>
        <w:t>-</w:t>
      </w:r>
      <w:r w:rsidR="007C540E" w:rsidRPr="00EA3D14">
        <w:rPr>
          <w:rFonts w:ascii="Calibri" w:hAnsi="Calibri" w:cstheme="minorHAnsi"/>
        </w:rPr>
        <w:t>owned businesses.</w:t>
      </w:r>
      <w:r w:rsidR="00F87414" w:rsidRPr="00EA3D14">
        <w:rPr>
          <w:rFonts w:ascii="Calibri" w:hAnsi="Calibri" w:cstheme="minorHAnsi"/>
        </w:rPr>
        <w:t xml:space="preserve"> </w:t>
      </w:r>
      <w:r w:rsidR="008E26E2" w:rsidRPr="00EA3D14">
        <w:rPr>
          <w:rFonts w:ascii="Calibri" w:hAnsi="Calibri" w:cstheme="minorHAnsi"/>
        </w:rPr>
        <w:t>Therefore, s</w:t>
      </w:r>
      <w:r w:rsidR="00813659" w:rsidRPr="00EA3D14">
        <w:rPr>
          <w:rFonts w:ascii="Calibri" w:hAnsi="Calibri" w:cstheme="minorHAnsi"/>
        </w:rPr>
        <w:t>upplier diversity considerations will be included in all aspects of</w:t>
      </w:r>
      <w:r w:rsidR="002F08CF" w:rsidRPr="00EA3D14">
        <w:rPr>
          <w:rFonts w:ascii="Calibri" w:hAnsi="Calibri" w:cstheme="minorHAnsi"/>
        </w:rPr>
        <w:t xml:space="preserve"> contracting and</w:t>
      </w:r>
      <w:r w:rsidR="00813659" w:rsidRPr="00EA3D14">
        <w:rPr>
          <w:rFonts w:ascii="Calibri" w:hAnsi="Calibri" w:cstheme="minorHAnsi"/>
        </w:rPr>
        <w:t xml:space="preserve"> procurement.</w:t>
      </w:r>
      <w:r w:rsidR="007C540E" w:rsidRPr="00EA3D14">
        <w:rPr>
          <w:rFonts w:ascii="Calibri" w:hAnsi="Calibri" w:cstheme="minorHAnsi"/>
        </w:rPr>
        <w:t xml:space="preserve"> </w:t>
      </w:r>
      <w:r w:rsidR="00AE7A2A" w:rsidRPr="00EA3D14">
        <w:rPr>
          <w:rFonts w:ascii="Calibri" w:hAnsi="Calibri" w:cstheme="minorHAnsi"/>
        </w:rPr>
        <w:t xml:space="preserve">This policy establishes the </w:t>
      </w:r>
      <w:r w:rsidR="008E26E2" w:rsidRPr="00EA3D14">
        <w:rPr>
          <w:rFonts w:ascii="Calibri" w:hAnsi="Calibri" w:cstheme="minorHAnsi"/>
        </w:rPr>
        <w:t xml:space="preserve">supplier diversity </w:t>
      </w:r>
      <w:r w:rsidR="00AE7A2A" w:rsidRPr="00EA3D14">
        <w:rPr>
          <w:rFonts w:ascii="Calibri" w:hAnsi="Calibri" w:cstheme="minorHAnsi"/>
        </w:rPr>
        <w:t xml:space="preserve">procurement </w:t>
      </w:r>
      <w:r w:rsidR="00DB0E42" w:rsidRPr="00EA3D14">
        <w:rPr>
          <w:rFonts w:ascii="Calibri" w:hAnsi="Calibri" w:cstheme="minorHAnsi"/>
        </w:rPr>
        <w:t xml:space="preserve">criteria </w:t>
      </w:r>
      <w:r w:rsidR="007C540E" w:rsidRPr="00EA3D14">
        <w:rPr>
          <w:rFonts w:ascii="Calibri" w:hAnsi="Calibri" w:cstheme="minorHAnsi"/>
        </w:rPr>
        <w:t>authorized in statute</w:t>
      </w:r>
      <w:r w:rsidR="00871F5D" w:rsidRPr="00EA3D14">
        <w:rPr>
          <w:rFonts w:ascii="Calibri" w:hAnsi="Calibri" w:cstheme="minorHAnsi"/>
        </w:rPr>
        <w:t xml:space="preserve"> and furthered in</w:t>
      </w:r>
      <w:r w:rsidR="007C540E" w:rsidRPr="00EA3D14">
        <w:rPr>
          <w:rFonts w:ascii="Calibri" w:hAnsi="Calibri" w:cstheme="minorHAnsi"/>
        </w:rPr>
        <w:t xml:space="preserve"> Executive Order 19-01</w:t>
      </w:r>
      <w:r w:rsidR="00871F5D" w:rsidRPr="00EA3D14">
        <w:rPr>
          <w:rFonts w:ascii="Calibri" w:hAnsi="Calibri" w:cstheme="minorHAnsi"/>
        </w:rPr>
        <w:t xml:space="preserve"> and other documents</w:t>
      </w:r>
      <w:r w:rsidR="002F08CF" w:rsidRPr="00EA3D14">
        <w:rPr>
          <w:rFonts w:ascii="Calibri" w:hAnsi="Calibri" w:cstheme="minorHAnsi"/>
        </w:rPr>
        <w:t>.</w:t>
      </w:r>
      <w:r w:rsidR="00325820" w:rsidRPr="00EA3D14">
        <w:rPr>
          <w:rFonts w:ascii="Calibri" w:hAnsi="Calibri" w:cstheme="minorHAnsi"/>
        </w:rPr>
        <w:t xml:space="preserve"> Furthermore, this policy supports and enhances the practices found in </w:t>
      </w:r>
      <w:r w:rsidR="00503677" w:rsidRPr="00EA3D14">
        <w:rPr>
          <w:rFonts w:ascii="Calibri" w:hAnsi="Calibri" w:cstheme="minorHAnsi"/>
        </w:rPr>
        <w:t xml:space="preserve">the </w:t>
      </w:r>
      <w:hyperlink r:id="rId28" w:history="1">
        <w:r w:rsidR="00503677" w:rsidRPr="00EA3D14">
          <w:rPr>
            <w:rStyle w:val="Hyperlink"/>
            <w:rFonts w:ascii="Calibri" w:hAnsi="Calibri" w:cstheme="minorHAnsi"/>
          </w:rPr>
          <w:t>Tools for Equity in Public Spending</w:t>
        </w:r>
      </w:hyperlink>
      <w:r w:rsidR="00503677" w:rsidRPr="00EA3D14">
        <w:rPr>
          <w:rFonts w:ascii="Calibri" w:hAnsi="Calibri" w:cstheme="minorHAnsi"/>
        </w:rPr>
        <w:t>,</w:t>
      </w:r>
      <w:r w:rsidR="007C540E" w:rsidRPr="00EA3D14">
        <w:rPr>
          <w:rFonts w:ascii="Calibri" w:hAnsi="Calibri" w:cstheme="minorHAnsi"/>
        </w:rPr>
        <w:t xml:space="preserve"> </w:t>
      </w:r>
      <w:r w:rsidR="00E65EC4" w:rsidRPr="00EA3D14">
        <w:rPr>
          <w:rFonts w:ascii="Calibri" w:hAnsi="Calibri" w:cstheme="minorHAnsi"/>
        </w:rPr>
        <w:t xml:space="preserve">and </w:t>
      </w:r>
      <w:r w:rsidR="00EC7BA9" w:rsidRPr="00EA3D14">
        <w:rPr>
          <w:rFonts w:ascii="Calibri" w:hAnsi="Calibri" w:cstheme="minorHAnsi"/>
        </w:rPr>
        <w:t>assists in implementing the</w:t>
      </w:r>
      <w:r w:rsidR="00E65EC4" w:rsidRPr="00EA3D14">
        <w:rPr>
          <w:rFonts w:ascii="Calibri" w:hAnsi="Calibri" w:cstheme="minorHAnsi"/>
        </w:rPr>
        <w:t xml:space="preserve"> </w:t>
      </w:r>
      <w:r w:rsidR="00325820" w:rsidRPr="00EA3D14">
        <w:rPr>
          <w:rFonts w:ascii="Calibri" w:hAnsi="Calibri" w:cstheme="minorHAnsi"/>
        </w:rPr>
        <w:t xml:space="preserve">recommendations </w:t>
      </w:r>
      <w:r w:rsidR="00EC7BA9" w:rsidRPr="00EA3D14">
        <w:rPr>
          <w:rFonts w:ascii="Calibri" w:hAnsi="Calibri" w:cstheme="minorHAnsi"/>
        </w:rPr>
        <w:t xml:space="preserve">made in the </w:t>
      </w:r>
      <w:hyperlink r:id="rId29" w:history="1">
        <w:r w:rsidR="00E65EC4" w:rsidRPr="00EA3D14">
          <w:rPr>
            <w:rStyle w:val="Hyperlink"/>
            <w:rFonts w:ascii="Calibri" w:hAnsi="Calibri" w:cstheme="minorHAnsi"/>
          </w:rPr>
          <w:t>2019 State of Washin</w:t>
        </w:r>
        <w:r w:rsidR="00F743FF" w:rsidRPr="00EA3D14">
          <w:rPr>
            <w:rStyle w:val="Hyperlink"/>
            <w:rFonts w:ascii="Calibri" w:hAnsi="Calibri" w:cstheme="minorHAnsi"/>
          </w:rPr>
          <w:t>g</w:t>
        </w:r>
        <w:r w:rsidR="00E65EC4" w:rsidRPr="00EA3D14">
          <w:rPr>
            <w:rStyle w:val="Hyperlink"/>
            <w:rFonts w:ascii="Calibri" w:hAnsi="Calibri" w:cstheme="minorHAnsi"/>
          </w:rPr>
          <w:t>ton Disparity Study</w:t>
        </w:r>
      </w:hyperlink>
      <w:r w:rsidR="00F81DC7" w:rsidRPr="00EA3D14">
        <w:rPr>
          <w:rFonts w:ascii="Calibri" w:hAnsi="Calibri" w:cstheme="minorHAnsi"/>
        </w:rPr>
        <w:t xml:space="preserve">. </w:t>
      </w:r>
      <w:r w:rsidR="007011EB">
        <w:rPr>
          <w:rFonts w:ascii="Calibri" w:hAnsi="Calibri" w:cstheme="minorHAnsi"/>
        </w:rPr>
        <w:t xml:space="preserve"> </w:t>
      </w:r>
    </w:p>
    <w:p w14:paraId="77329EFE" w14:textId="77777777" w:rsidR="007011EB" w:rsidRDefault="007011EB" w:rsidP="00EA3D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</w:p>
    <w:p w14:paraId="6C0A774C" w14:textId="4EB3F7F2" w:rsidR="006E012D" w:rsidRPr="00EA3D14" w:rsidRDefault="00777D7F" w:rsidP="00EA3D14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This policy is presented in two </w:t>
      </w:r>
      <w:r w:rsidR="00DE4A15">
        <w:rPr>
          <w:rFonts w:ascii="Calibri" w:hAnsi="Calibri" w:cstheme="minorHAnsi"/>
        </w:rPr>
        <w:t>parts</w:t>
      </w:r>
      <w:r>
        <w:rPr>
          <w:rFonts w:ascii="Calibri" w:hAnsi="Calibri" w:cstheme="minorHAnsi"/>
        </w:rPr>
        <w:t>:</w:t>
      </w:r>
      <w:r w:rsidR="00DE4A15">
        <w:rPr>
          <w:rFonts w:ascii="Calibri" w:hAnsi="Calibri"/>
        </w:rPr>
        <w:t xml:space="preserve"> </w:t>
      </w:r>
      <w:r w:rsidR="008A3D9B">
        <w:rPr>
          <w:rFonts w:ascii="Calibri" w:hAnsi="Calibri"/>
        </w:rPr>
        <w:t xml:space="preserve">Part </w:t>
      </w:r>
      <w:r w:rsidR="00DE4A15">
        <w:rPr>
          <w:rFonts w:ascii="Calibri" w:hAnsi="Calibri"/>
        </w:rPr>
        <w:t>1</w:t>
      </w:r>
      <w:r w:rsidR="007011EB">
        <w:rPr>
          <w:rFonts w:ascii="Calibri" w:hAnsi="Calibri"/>
        </w:rPr>
        <w:t>) agency leadership requirements</w:t>
      </w:r>
      <w:r w:rsidR="00DE4A15">
        <w:rPr>
          <w:rFonts w:ascii="Calibri" w:hAnsi="Calibri"/>
        </w:rPr>
        <w:t xml:space="preserve"> (Section A); and </w:t>
      </w:r>
      <w:r w:rsidR="008A3D9B">
        <w:rPr>
          <w:rFonts w:ascii="Calibri" w:hAnsi="Calibri"/>
        </w:rPr>
        <w:t xml:space="preserve">Part </w:t>
      </w:r>
      <w:r w:rsidR="00DE4A15">
        <w:rPr>
          <w:rFonts w:ascii="Calibri" w:hAnsi="Calibri"/>
        </w:rPr>
        <w:t>2</w:t>
      </w:r>
      <w:r w:rsidR="007011EB">
        <w:rPr>
          <w:rFonts w:ascii="Calibri" w:hAnsi="Calibri"/>
        </w:rPr>
        <w:t>) roles and responsibilities for procurement and contracting professionals</w:t>
      </w:r>
      <w:r w:rsidR="00DE4A15">
        <w:rPr>
          <w:rFonts w:ascii="Calibri" w:hAnsi="Calibri"/>
        </w:rPr>
        <w:t xml:space="preserve"> (Sections B-D)</w:t>
      </w:r>
      <w:r w:rsidR="007011EB">
        <w:rPr>
          <w:rFonts w:ascii="Calibri" w:hAnsi="Calibri"/>
        </w:rPr>
        <w:t>.</w:t>
      </w:r>
      <w:r w:rsidR="002605DF" w:rsidRPr="002605DF">
        <w:t xml:space="preserve"> </w:t>
      </w:r>
      <w:r w:rsidR="002605DF" w:rsidRPr="002605DF">
        <w:rPr>
          <w:rFonts w:ascii="Calibri" w:hAnsi="Calibri"/>
        </w:rPr>
        <w:t>The policy addresses the</w:t>
      </w:r>
      <w:r w:rsidR="00DE4A15">
        <w:rPr>
          <w:rFonts w:ascii="Calibri" w:hAnsi="Calibri"/>
        </w:rPr>
        <w:t xml:space="preserve"> “</w:t>
      </w:r>
      <w:r w:rsidR="002605DF" w:rsidRPr="002605DF">
        <w:rPr>
          <w:rFonts w:ascii="Calibri" w:hAnsi="Calibri"/>
        </w:rPr>
        <w:t>what</w:t>
      </w:r>
      <w:r w:rsidR="00DE4A15">
        <w:rPr>
          <w:rFonts w:ascii="Calibri" w:hAnsi="Calibri"/>
        </w:rPr>
        <w:t xml:space="preserve">”: </w:t>
      </w:r>
      <w:r w:rsidR="002605DF" w:rsidRPr="002605DF">
        <w:rPr>
          <w:rFonts w:ascii="Calibri" w:hAnsi="Calibri"/>
        </w:rPr>
        <w:t>supplier diversity requirements, roles, and responsibilities. “How” to implement the policy is addressed in the supplier div</w:t>
      </w:r>
      <w:r w:rsidR="002A6B29">
        <w:rPr>
          <w:rFonts w:ascii="Calibri" w:hAnsi="Calibri"/>
        </w:rPr>
        <w:t>ersity procedure</w:t>
      </w:r>
      <w:r w:rsidR="002605DF" w:rsidRPr="002605DF">
        <w:rPr>
          <w:rFonts w:ascii="Calibri" w:hAnsi="Calibri"/>
        </w:rPr>
        <w:t>. Each section of the policy has a corresponding section of the procedure.</w:t>
      </w:r>
    </w:p>
    <w:p w14:paraId="688F96B8" w14:textId="77777777" w:rsidR="0009586F" w:rsidRPr="00EA3D14" w:rsidRDefault="0009586F" w:rsidP="0009586F">
      <w:pPr>
        <w:pStyle w:val="Heading1"/>
        <w:rPr>
          <w:rFonts w:ascii="Calibri" w:hAnsi="Calibri"/>
        </w:rPr>
      </w:pPr>
      <w:r w:rsidRPr="00EA3D14">
        <w:rPr>
          <w:rFonts w:ascii="Calibri" w:hAnsi="Calibri"/>
        </w:rPr>
        <w:t>Policy</w:t>
      </w:r>
    </w:p>
    <w:p w14:paraId="6795F146" w14:textId="77777777" w:rsidR="005A51AF" w:rsidRPr="000757B8" w:rsidRDefault="005A51AF" w:rsidP="002C4FA0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 xml:space="preserve">To </w:t>
      </w:r>
      <w:r w:rsidRPr="000757B8">
        <w:rPr>
          <w:rFonts w:ascii="Calibri" w:hAnsi="Calibri" w:cstheme="minorHAnsi"/>
          <w:b/>
        </w:rPr>
        <w:t>demonstrate promotion of supplier diversity, agency leadership will:</w:t>
      </w:r>
    </w:p>
    <w:p w14:paraId="7E5601DD" w14:textId="77777777" w:rsidR="00822B9B" w:rsidRPr="000757B8" w:rsidRDefault="00822B9B" w:rsidP="00822B9B">
      <w:pPr>
        <w:pStyle w:val="ListParagraph"/>
        <w:spacing w:line="240" w:lineRule="auto"/>
        <w:ind w:left="360"/>
        <w:rPr>
          <w:rFonts w:ascii="Calibri" w:hAnsi="Calibri" w:cstheme="minorHAnsi"/>
          <w:b/>
        </w:rPr>
      </w:pPr>
    </w:p>
    <w:p w14:paraId="449269A8" w14:textId="435D56BB" w:rsidR="00F54ED1" w:rsidRPr="000757B8" w:rsidRDefault="00CF42FF" w:rsidP="001D353F">
      <w:pPr>
        <w:pStyle w:val="ListParagraph"/>
        <w:numPr>
          <w:ilvl w:val="0"/>
          <w:numId w:val="9"/>
        </w:numPr>
        <w:spacing w:line="240" w:lineRule="auto"/>
      </w:pPr>
      <w:r>
        <w:rPr>
          <w:rFonts w:ascii="Calibri" w:hAnsi="Calibri" w:cstheme="minorHAnsi"/>
        </w:rPr>
        <w:t>Ensure agency c</w:t>
      </w:r>
      <w:r w:rsidR="005A51AF" w:rsidRPr="000757B8">
        <w:rPr>
          <w:rFonts w:ascii="Calibri" w:hAnsi="Calibri" w:cstheme="minorHAnsi"/>
        </w:rPr>
        <w:t>ompl</w:t>
      </w:r>
      <w:r>
        <w:rPr>
          <w:rFonts w:ascii="Calibri" w:hAnsi="Calibri" w:cstheme="minorHAnsi"/>
        </w:rPr>
        <w:t>iance</w:t>
      </w:r>
      <w:r w:rsidR="005A51AF" w:rsidRPr="000757B8">
        <w:rPr>
          <w:rFonts w:ascii="Calibri" w:hAnsi="Calibri" w:cstheme="minorHAnsi"/>
          <w:b/>
        </w:rPr>
        <w:t xml:space="preserve"> </w:t>
      </w:r>
      <w:r w:rsidR="00086AE0" w:rsidRPr="000757B8">
        <w:t xml:space="preserve">with OMWBE’s </w:t>
      </w:r>
      <w:r w:rsidR="00371955" w:rsidRPr="000757B8">
        <w:t xml:space="preserve">annual </w:t>
      </w:r>
      <w:r w:rsidR="007011EB" w:rsidRPr="000757B8">
        <w:t xml:space="preserve">agency supplier diversity </w:t>
      </w:r>
      <w:r w:rsidR="00371955" w:rsidRPr="000757B8">
        <w:t>inclusion plan</w:t>
      </w:r>
      <w:r w:rsidR="001B0FF4" w:rsidRPr="000757B8">
        <w:t>;</w:t>
      </w:r>
    </w:p>
    <w:p w14:paraId="3FEC1AF0" w14:textId="77777777" w:rsidR="00822B9B" w:rsidRPr="000757B8" w:rsidRDefault="00822B9B" w:rsidP="00822B9B">
      <w:pPr>
        <w:pStyle w:val="ListParagraph"/>
        <w:spacing w:line="240" w:lineRule="auto"/>
      </w:pPr>
    </w:p>
    <w:p w14:paraId="526CE117" w14:textId="77777777" w:rsidR="005572E7" w:rsidRDefault="00F70E57" w:rsidP="005572E7">
      <w:pPr>
        <w:pStyle w:val="ListParagraph"/>
        <w:numPr>
          <w:ilvl w:val="0"/>
          <w:numId w:val="6"/>
        </w:numPr>
        <w:spacing w:before="80" w:after="0" w:line="240" w:lineRule="auto"/>
        <w:rPr>
          <w:rFonts w:eastAsia="Times New Roman" w:cstheme="minorHAnsi"/>
        </w:rPr>
      </w:pPr>
      <w:r w:rsidRPr="000757B8">
        <w:rPr>
          <w:rFonts w:eastAsia="Times New Roman" w:cstheme="minorHAnsi"/>
        </w:rPr>
        <w:t xml:space="preserve">Identify which </w:t>
      </w:r>
      <w:r w:rsidR="00F93AF2" w:rsidRPr="000757B8">
        <w:rPr>
          <w:rFonts w:eastAsia="Times New Roman" w:cstheme="minorHAnsi"/>
        </w:rPr>
        <w:t>agenc</w:t>
      </w:r>
      <w:r w:rsidRPr="000757B8">
        <w:rPr>
          <w:rFonts w:eastAsia="Times New Roman" w:cstheme="minorHAnsi"/>
        </w:rPr>
        <w:t xml:space="preserve">y leader(s) has/have the responsibility for increasing the </w:t>
      </w:r>
      <w:r w:rsidR="00F93AF2" w:rsidRPr="000757B8">
        <w:rPr>
          <w:rFonts w:eastAsia="Times New Roman" w:cstheme="minorHAnsi"/>
        </w:rPr>
        <w:t>agenc</w:t>
      </w:r>
      <w:r w:rsidRPr="000757B8">
        <w:rPr>
          <w:rFonts w:eastAsia="Times New Roman" w:cstheme="minorHAnsi"/>
        </w:rPr>
        <w:t xml:space="preserve">y’s spending with </w:t>
      </w:r>
      <w:r w:rsidR="001B0FF4" w:rsidRPr="000757B8">
        <w:rPr>
          <w:rFonts w:eastAsia="Times New Roman" w:cstheme="minorHAnsi"/>
        </w:rPr>
        <w:t>small, diverse,</w:t>
      </w:r>
      <w:r w:rsidRPr="000757B8">
        <w:rPr>
          <w:rFonts w:eastAsia="Times New Roman" w:cstheme="minorHAnsi"/>
        </w:rPr>
        <w:t xml:space="preserve"> and veteran-owned businesses</w:t>
      </w:r>
      <w:r w:rsidR="001B0FF4" w:rsidRPr="000757B8">
        <w:rPr>
          <w:rFonts w:eastAsia="Times New Roman" w:cstheme="minorHAnsi"/>
        </w:rPr>
        <w:t xml:space="preserve">; </w:t>
      </w:r>
    </w:p>
    <w:p w14:paraId="6147F64A" w14:textId="77777777" w:rsidR="005572E7" w:rsidRDefault="005572E7" w:rsidP="005572E7">
      <w:pPr>
        <w:pStyle w:val="ListParagraph"/>
        <w:spacing w:before="80" w:after="0" w:line="240" w:lineRule="auto"/>
        <w:rPr>
          <w:rFonts w:eastAsia="Times New Roman" w:cstheme="minorHAnsi"/>
        </w:rPr>
      </w:pPr>
    </w:p>
    <w:p w14:paraId="1EDE26AD" w14:textId="635B1529" w:rsidR="00822B9B" w:rsidRPr="005572E7" w:rsidRDefault="00B412DA" w:rsidP="005572E7">
      <w:pPr>
        <w:pStyle w:val="ListParagraph"/>
        <w:numPr>
          <w:ilvl w:val="0"/>
          <w:numId w:val="6"/>
        </w:numPr>
        <w:spacing w:before="8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Use</w:t>
      </w:r>
      <w:r w:rsidR="005572E7" w:rsidRPr="005572E7">
        <w:rPr>
          <w:rFonts w:eastAsia="Times New Roman" w:cstheme="minorHAnsi"/>
        </w:rPr>
        <w:t xml:space="preserve"> agency supplier diversity procurement goals</w:t>
      </w:r>
      <w:r w:rsidR="007023E3">
        <w:rPr>
          <w:rFonts w:eastAsia="Times New Roman" w:cstheme="minorHAnsi"/>
        </w:rPr>
        <w:t>, as developed by OMWBE,</w:t>
      </w:r>
      <w:r w:rsidR="005572E7" w:rsidRPr="005572E7">
        <w:rPr>
          <w:rFonts w:eastAsia="Times New Roman" w:cstheme="minorHAnsi"/>
        </w:rPr>
        <w:t xml:space="preserve"> </w:t>
      </w:r>
      <w:r w:rsidR="007023E3">
        <w:rPr>
          <w:rFonts w:eastAsia="Times New Roman" w:cstheme="minorHAnsi"/>
        </w:rPr>
        <w:t>to set</w:t>
      </w:r>
      <w:r w:rsidR="005572E7" w:rsidRPr="005572E7">
        <w:rPr>
          <w:rFonts w:eastAsia="Times New Roman" w:cstheme="minorHAnsi"/>
        </w:rPr>
        <w:t xml:space="preserve"> a timeline for achieving the goals; and</w:t>
      </w:r>
    </w:p>
    <w:p w14:paraId="403D0AC9" w14:textId="77777777" w:rsidR="005572E7" w:rsidRPr="000757B8" w:rsidRDefault="005572E7" w:rsidP="00822B9B">
      <w:pPr>
        <w:pStyle w:val="ListParagraph"/>
        <w:spacing w:before="80" w:after="0" w:line="240" w:lineRule="auto"/>
        <w:rPr>
          <w:rFonts w:eastAsia="Times New Roman" w:cstheme="minorHAnsi"/>
        </w:rPr>
      </w:pPr>
    </w:p>
    <w:p w14:paraId="4B7E8121" w14:textId="5F803AB8" w:rsidR="00A77FA5" w:rsidRPr="000757B8" w:rsidRDefault="00CF42FF" w:rsidP="002C4FA0">
      <w:pPr>
        <w:pStyle w:val="ListParagraph"/>
        <w:numPr>
          <w:ilvl w:val="0"/>
          <w:numId w:val="6"/>
        </w:numPr>
        <w:spacing w:before="8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A77FA5" w:rsidRPr="000757B8">
        <w:rPr>
          <w:rFonts w:eastAsia="Times New Roman" w:cstheme="minorHAnsi"/>
        </w:rPr>
        <w:t xml:space="preserve">omplete supplier diversity training within </w:t>
      </w:r>
      <w:r w:rsidR="00D13EA8" w:rsidRPr="000757B8">
        <w:rPr>
          <w:rFonts w:eastAsia="Times New Roman" w:cstheme="minorHAnsi"/>
        </w:rPr>
        <w:t>six (</w:t>
      </w:r>
      <w:r w:rsidR="00A77FA5" w:rsidRPr="000757B8">
        <w:rPr>
          <w:rFonts w:eastAsia="Times New Roman" w:cstheme="minorHAnsi"/>
        </w:rPr>
        <w:t>6</w:t>
      </w:r>
      <w:r w:rsidR="00D13EA8" w:rsidRPr="000757B8">
        <w:rPr>
          <w:rFonts w:eastAsia="Times New Roman" w:cstheme="minorHAnsi"/>
        </w:rPr>
        <w:t>)</w:t>
      </w:r>
      <w:r w:rsidR="00A77FA5" w:rsidRPr="000757B8">
        <w:rPr>
          <w:rFonts w:eastAsia="Times New Roman" w:cstheme="minorHAnsi"/>
        </w:rPr>
        <w:t xml:space="preserve"> months after the effective date of this policy</w:t>
      </w:r>
      <w:r>
        <w:rPr>
          <w:rFonts w:eastAsia="Times New Roman" w:cstheme="minorHAnsi"/>
        </w:rPr>
        <w:t xml:space="preserve">, or within </w:t>
      </w:r>
      <w:r w:rsidR="0017080F">
        <w:rPr>
          <w:rFonts w:eastAsia="Times New Roman" w:cstheme="minorHAnsi"/>
        </w:rPr>
        <w:t xml:space="preserve">90 days for new </w:t>
      </w:r>
      <w:r w:rsidR="00FB00B5">
        <w:rPr>
          <w:rFonts w:eastAsia="Times New Roman" w:cstheme="minorHAnsi"/>
        </w:rPr>
        <w:t>agency leadership</w:t>
      </w:r>
      <w:r w:rsidR="00A77FA5" w:rsidRPr="000757B8">
        <w:rPr>
          <w:rFonts w:eastAsia="Times New Roman" w:cstheme="minorHAnsi"/>
        </w:rPr>
        <w:t>.</w:t>
      </w:r>
      <w:r w:rsidR="0017080F" w:rsidRPr="0017080F">
        <w:t xml:space="preserve"> </w:t>
      </w:r>
    </w:p>
    <w:p w14:paraId="4F2CB75D" w14:textId="3AF70272" w:rsidR="006E012D" w:rsidRPr="000757B8" w:rsidRDefault="00DB4EF5" w:rsidP="002C4FA0">
      <w:pPr>
        <w:pStyle w:val="NoSpacing"/>
        <w:numPr>
          <w:ilvl w:val="0"/>
          <w:numId w:val="8"/>
        </w:numPr>
        <w:spacing w:before="120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0757B8">
        <w:rPr>
          <w:rFonts w:asciiTheme="minorHAnsi" w:hAnsiTheme="minorHAnsi" w:cstheme="minorHAnsi"/>
          <w:b/>
          <w:sz w:val="22"/>
          <w:szCs w:val="22"/>
        </w:rPr>
        <w:t>Procurement and Contracting Professionals</w:t>
      </w:r>
      <w:r w:rsidR="000757B8">
        <w:rPr>
          <w:rFonts w:asciiTheme="minorHAnsi" w:hAnsiTheme="minorHAnsi" w:cstheme="minorHAnsi"/>
          <w:b/>
          <w:sz w:val="22"/>
          <w:szCs w:val="22"/>
        </w:rPr>
        <w:t xml:space="preserve"> will implement supplier d</w:t>
      </w:r>
      <w:r w:rsidR="00932E7E" w:rsidRPr="000757B8">
        <w:rPr>
          <w:rFonts w:asciiTheme="minorHAnsi" w:hAnsiTheme="minorHAnsi" w:cstheme="minorHAnsi"/>
          <w:b/>
          <w:sz w:val="22"/>
          <w:szCs w:val="22"/>
        </w:rPr>
        <w:t>iversity</w:t>
      </w:r>
      <w:r w:rsidR="00C416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33B7">
        <w:rPr>
          <w:rFonts w:asciiTheme="minorHAnsi" w:hAnsiTheme="minorHAnsi" w:cstheme="minorHAnsi"/>
          <w:b/>
          <w:sz w:val="22"/>
          <w:szCs w:val="22"/>
        </w:rPr>
        <w:t xml:space="preserve">on all </w:t>
      </w:r>
      <w:r w:rsidR="00C36FE4">
        <w:rPr>
          <w:rFonts w:asciiTheme="minorHAnsi" w:hAnsiTheme="minorHAnsi" w:cstheme="minorHAnsi"/>
          <w:b/>
          <w:sz w:val="22"/>
          <w:szCs w:val="22"/>
        </w:rPr>
        <w:t xml:space="preserve">competitive and non-competitive </w:t>
      </w:r>
      <w:r w:rsidR="005F33B7">
        <w:rPr>
          <w:rFonts w:asciiTheme="minorHAnsi" w:hAnsiTheme="minorHAnsi" w:cstheme="minorHAnsi"/>
          <w:b/>
          <w:sz w:val="22"/>
          <w:szCs w:val="22"/>
        </w:rPr>
        <w:t>procurements</w:t>
      </w:r>
      <w:r w:rsidR="00822B9B" w:rsidRPr="000757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1FD9" w:rsidRPr="000757B8">
        <w:rPr>
          <w:rFonts w:asciiTheme="minorHAnsi" w:hAnsiTheme="minorHAnsi" w:cstheme="minorHAnsi"/>
          <w:b/>
          <w:sz w:val="22"/>
          <w:szCs w:val="22"/>
        </w:rPr>
        <w:t>t</w:t>
      </w:r>
      <w:r w:rsidR="00822B9B" w:rsidRPr="000757B8">
        <w:rPr>
          <w:rFonts w:asciiTheme="minorHAnsi" w:hAnsiTheme="minorHAnsi" w:cstheme="minorHAnsi"/>
          <w:b/>
          <w:sz w:val="22"/>
          <w:szCs w:val="22"/>
        </w:rPr>
        <w:t>hrough</w:t>
      </w:r>
      <w:r w:rsidR="006E012D" w:rsidRPr="000757B8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0183459A" w14:textId="77777777" w:rsidR="00472369" w:rsidRPr="000757B8" w:rsidRDefault="00472369" w:rsidP="007B6287">
      <w:pPr>
        <w:pStyle w:val="NoSpacing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11DE1E" w14:textId="55597D42" w:rsidR="001145DA" w:rsidRPr="0017080F" w:rsidRDefault="00221DDC" w:rsidP="00932E7E">
      <w:pPr>
        <w:pStyle w:val="NoSpacing"/>
        <w:ind w:left="720" w:hanging="360"/>
        <w:contextualSpacing/>
        <w:rPr>
          <w:rFonts w:ascii="Calibri" w:eastAsia="Times New Roman" w:hAnsi="Calibri" w:cstheme="minorHAnsi"/>
        </w:rPr>
      </w:pPr>
      <w:r w:rsidRPr="0017080F">
        <w:rPr>
          <w:rFonts w:ascii="Calibri" w:hAnsi="Calibri" w:cstheme="minorHAnsi"/>
          <w:sz w:val="22"/>
          <w:szCs w:val="22"/>
        </w:rPr>
        <w:t>1</w:t>
      </w:r>
      <w:r w:rsidR="00DC7C2B" w:rsidRPr="0017080F">
        <w:rPr>
          <w:rFonts w:ascii="Calibri" w:hAnsi="Calibri" w:cstheme="minorHAnsi"/>
          <w:sz w:val="22"/>
          <w:szCs w:val="22"/>
        </w:rPr>
        <w:t>.</w:t>
      </w:r>
      <w:r w:rsidR="00DC7C2B" w:rsidRPr="0017080F">
        <w:rPr>
          <w:rFonts w:ascii="Calibri" w:hAnsi="Calibri" w:cstheme="minorHAnsi"/>
          <w:sz w:val="22"/>
          <w:szCs w:val="22"/>
        </w:rPr>
        <w:tab/>
      </w:r>
      <w:r w:rsidR="00822B9B" w:rsidRPr="0017080F">
        <w:rPr>
          <w:rFonts w:ascii="Calibri" w:hAnsi="Calibri" w:cstheme="minorHAnsi"/>
          <w:sz w:val="22"/>
          <w:szCs w:val="22"/>
        </w:rPr>
        <w:t>F</w:t>
      </w:r>
      <w:r w:rsidR="00B01C89" w:rsidRPr="0017080F">
        <w:rPr>
          <w:rFonts w:ascii="Calibri" w:hAnsi="Calibri" w:cstheme="minorHAnsi"/>
          <w:sz w:val="22"/>
          <w:szCs w:val="22"/>
        </w:rPr>
        <w:t>orecasting</w:t>
      </w:r>
      <w:r w:rsidR="00932E7E" w:rsidRPr="0017080F">
        <w:rPr>
          <w:rFonts w:ascii="Calibri" w:hAnsi="Calibri" w:cstheme="minorHAnsi"/>
          <w:sz w:val="22"/>
          <w:szCs w:val="22"/>
        </w:rPr>
        <w:t xml:space="preserve"> of agency purchases.</w:t>
      </w:r>
    </w:p>
    <w:p w14:paraId="5C82EF14" w14:textId="77777777" w:rsidR="003B66DE" w:rsidRPr="0017080F" w:rsidRDefault="003B66DE" w:rsidP="00F0210D">
      <w:pPr>
        <w:spacing w:after="0" w:line="240" w:lineRule="auto"/>
        <w:contextualSpacing/>
        <w:rPr>
          <w:rFonts w:ascii="Calibri" w:eastAsia="Times New Roman" w:hAnsi="Calibri" w:cstheme="minorHAnsi"/>
        </w:rPr>
      </w:pPr>
    </w:p>
    <w:p w14:paraId="261AB0DD" w14:textId="324D584C" w:rsidR="00AD6B32" w:rsidRPr="0017080F" w:rsidRDefault="000757B8" w:rsidP="00932E7E">
      <w:pPr>
        <w:pStyle w:val="NoSpacing"/>
        <w:numPr>
          <w:ilvl w:val="0"/>
          <w:numId w:val="16"/>
        </w:numPr>
        <w:ind w:left="720"/>
        <w:contextualSpacing/>
        <w:jc w:val="both"/>
        <w:rPr>
          <w:rFonts w:ascii="Calibri" w:hAnsi="Calibri" w:cstheme="minorHAnsi"/>
        </w:rPr>
      </w:pPr>
      <w:r w:rsidRPr="0017080F">
        <w:rPr>
          <w:rFonts w:ascii="Calibri" w:hAnsi="Calibri" w:cstheme="minorHAnsi"/>
          <w:sz w:val="22"/>
          <w:szCs w:val="22"/>
        </w:rPr>
        <w:t>Conducting o</w:t>
      </w:r>
      <w:r w:rsidR="003B66DE" w:rsidRPr="0017080F">
        <w:rPr>
          <w:rFonts w:ascii="Calibri" w:hAnsi="Calibri" w:cstheme="minorHAnsi"/>
          <w:sz w:val="22"/>
          <w:szCs w:val="22"/>
        </w:rPr>
        <w:t>utreach</w:t>
      </w:r>
      <w:r w:rsidR="00932E7E" w:rsidRPr="0017080F">
        <w:rPr>
          <w:rFonts w:ascii="Calibri" w:hAnsi="Calibri" w:cstheme="minorHAnsi"/>
          <w:sz w:val="22"/>
          <w:szCs w:val="22"/>
        </w:rPr>
        <w:t xml:space="preserve"> to small, diverse, and veteran-owned businesses.</w:t>
      </w:r>
    </w:p>
    <w:p w14:paraId="68FFE14E" w14:textId="77777777" w:rsidR="00932E7E" w:rsidRPr="0017080F" w:rsidRDefault="00932E7E" w:rsidP="00932E7E">
      <w:pPr>
        <w:pStyle w:val="NoSpacing"/>
        <w:ind w:left="720"/>
        <w:contextualSpacing/>
        <w:jc w:val="both"/>
        <w:rPr>
          <w:rFonts w:ascii="Calibri" w:hAnsi="Calibri" w:cstheme="minorHAnsi"/>
        </w:rPr>
      </w:pPr>
    </w:p>
    <w:p w14:paraId="2A6A654A" w14:textId="0EC92817" w:rsidR="007A23F7" w:rsidRPr="0017080F" w:rsidRDefault="007A23F7" w:rsidP="007A23F7">
      <w:pPr>
        <w:pStyle w:val="ListParagraph"/>
        <w:numPr>
          <w:ilvl w:val="0"/>
          <w:numId w:val="16"/>
        </w:numPr>
        <w:spacing w:before="80" w:after="240" w:line="240" w:lineRule="auto"/>
        <w:ind w:left="720"/>
        <w:rPr>
          <w:rFonts w:ascii="Calibri" w:hAnsi="Calibri" w:cstheme="minorHAnsi"/>
        </w:rPr>
      </w:pPr>
      <w:r w:rsidRPr="0017080F">
        <w:rPr>
          <w:rFonts w:cstheme="minorHAnsi"/>
        </w:rPr>
        <w:t xml:space="preserve">Making procurements transparent with regard to supplier diversity, by publicly posting: </w:t>
      </w:r>
    </w:p>
    <w:p w14:paraId="3150B906" w14:textId="77777777" w:rsidR="007A23F7" w:rsidRPr="0017080F" w:rsidRDefault="007A23F7" w:rsidP="007A23F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Calibri" w:hAnsi="Calibri" w:cstheme="minorHAnsi"/>
        </w:rPr>
      </w:pPr>
      <w:r w:rsidRPr="0017080F">
        <w:rPr>
          <w:rFonts w:ascii="Calibri" w:hAnsi="Calibri" w:cstheme="minorHAnsi"/>
        </w:rPr>
        <w:t>Forecasted opportunities.</w:t>
      </w:r>
    </w:p>
    <w:p w14:paraId="00D6EDAE" w14:textId="77777777" w:rsidR="007A23F7" w:rsidRPr="0017080F" w:rsidRDefault="007A23F7" w:rsidP="007A23F7">
      <w:pPr>
        <w:pStyle w:val="ListParagraph"/>
        <w:spacing w:before="120" w:after="0" w:line="240" w:lineRule="auto"/>
        <w:ind w:left="1080"/>
        <w:rPr>
          <w:rFonts w:ascii="Calibri" w:hAnsi="Calibri" w:cstheme="minorHAnsi"/>
        </w:rPr>
      </w:pPr>
    </w:p>
    <w:p w14:paraId="5068DF29" w14:textId="652733B4" w:rsidR="007A23F7" w:rsidRPr="0017080F" w:rsidRDefault="007A23F7" w:rsidP="007A23F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Calibri" w:hAnsi="Calibri" w:cstheme="minorHAnsi"/>
        </w:rPr>
      </w:pPr>
      <w:r w:rsidRPr="0017080F">
        <w:rPr>
          <w:rFonts w:ascii="Calibri" w:hAnsi="Calibri" w:cstheme="minorHAnsi"/>
        </w:rPr>
        <w:t>Outreach plan and goal</w:t>
      </w:r>
      <w:r w:rsidR="007525FD" w:rsidRPr="0017080F">
        <w:rPr>
          <w:rFonts w:ascii="Calibri" w:hAnsi="Calibri" w:cstheme="minorHAnsi"/>
        </w:rPr>
        <w:t>s</w:t>
      </w:r>
      <w:r w:rsidRPr="0017080F">
        <w:rPr>
          <w:rFonts w:ascii="Calibri" w:hAnsi="Calibri" w:cstheme="minorHAnsi"/>
        </w:rPr>
        <w:t>.</w:t>
      </w:r>
    </w:p>
    <w:p w14:paraId="6D9F5145" w14:textId="77777777" w:rsidR="008514AB" w:rsidRPr="0017080F" w:rsidRDefault="008514AB" w:rsidP="008514AB">
      <w:pPr>
        <w:pStyle w:val="ListParagraph"/>
        <w:rPr>
          <w:rFonts w:ascii="Calibri" w:hAnsi="Calibri" w:cstheme="minorHAnsi"/>
        </w:rPr>
      </w:pPr>
    </w:p>
    <w:p w14:paraId="529E88C7" w14:textId="2062E786" w:rsidR="008514AB" w:rsidRPr="0017080F" w:rsidRDefault="008514AB" w:rsidP="007A23F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Calibri" w:hAnsi="Calibri" w:cstheme="minorHAnsi"/>
        </w:rPr>
      </w:pPr>
      <w:r w:rsidRPr="0017080F">
        <w:rPr>
          <w:rFonts w:eastAsia="Times New Roman" w:cstheme="minorHAnsi"/>
        </w:rPr>
        <w:t>Agency leader(s) who have the responsibility for increasing the agency’s spending with small, diverse, and veteran-owned businesses (by posting OMWBE’s annual agency supplier diversity inclusion plan on agency or OMWBE’s website satisfies this requirement).</w:t>
      </w:r>
    </w:p>
    <w:p w14:paraId="62461584" w14:textId="77777777" w:rsidR="007A23F7" w:rsidRPr="0017080F" w:rsidRDefault="007A23F7" w:rsidP="007A23F7">
      <w:pPr>
        <w:pStyle w:val="ListParagraph"/>
        <w:ind w:left="1080"/>
        <w:rPr>
          <w:rFonts w:ascii="Calibri" w:hAnsi="Calibri" w:cstheme="minorHAnsi"/>
        </w:rPr>
      </w:pPr>
    </w:p>
    <w:p w14:paraId="59B3A11A" w14:textId="74E58EC1" w:rsidR="00355D97" w:rsidRPr="00E37989" w:rsidRDefault="00355D97" w:rsidP="007A23F7">
      <w:pPr>
        <w:pStyle w:val="ListParagraph"/>
        <w:numPr>
          <w:ilvl w:val="0"/>
          <w:numId w:val="29"/>
        </w:numPr>
        <w:spacing w:before="120" w:after="0" w:line="240" w:lineRule="auto"/>
        <w:rPr>
          <w:rFonts w:ascii="Calibri" w:hAnsi="Calibri" w:cstheme="minorHAnsi"/>
        </w:rPr>
      </w:pPr>
      <w:r>
        <w:rPr>
          <w:rFonts w:cstheme="minorHAnsi"/>
          <w:color w:val="000000"/>
        </w:rPr>
        <w:t>T</w:t>
      </w:r>
      <w:r w:rsidRPr="006D3025">
        <w:rPr>
          <w:rFonts w:cstheme="minorHAnsi"/>
          <w:color w:val="000000"/>
        </w:rPr>
        <w:t xml:space="preserve">he agency progress in achieving supplier </w:t>
      </w:r>
      <w:r>
        <w:rPr>
          <w:rFonts w:cstheme="minorHAnsi"/>
          <w:color w:val="000000"/>
        </w:rPr>
        <w:t>diversity goals, in order to demonstrate compliance with this policy</w:t>
      </w:r>
      <w:r w:rsidRPr="006D3025">
        <w:rPr>
          <w:rFonts w:cstheme="minorHAnsi"/>
          <w:color w:val="000000"/>
        </w:rPr>
        <w:t>.</w:t>
      </w:r>
    </w:p>
    <w:p w14:paraId="25A286BD" w14:textId="77777777" w:rsidR="00E37989" w:rsidRPr="0017080F" w:rsidRDefault="00E37989" w:rsidP="00E37989">
      <w:pPr>
        <w:pStyle w:val="ListParagraph"/>
        <w:spacing w:before="120" w:after="0" w:line="240" w:lineRule="auto"/>
        <w:ind w:left="1080"/>
        <w:rPr>
          <w:rFonts w:ascii="Calibri" w:hAnsi="Calibri" w:cstheme="minorHAnsi"/>
        </w:rPr>
      </w:pPr>
    </w:p>
    <w:p w14:paraId="7FA22312" w14:textId="08AA3323" w:rsidR="007A23F7" w:rsidRDefault="007A23F7" w:rsidP="007A23F7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Calibri" w:hAnsi="Calibri" w:cstheme="minorHAnsi"/>
        </w:rPr>
      </w:pPr>
      <w:r w:rsidRPr="007A23F7">
        <w:rPr>
          <w:rFonts w:ascii="Calibri" w:hAnsi="Calibri" w:cstheme="minorHAnsi"/>
        </w:rPr>
        <w:t>Completing supplier diversity training.</w:t>
      </w:r>
    </w:p>
    <w:p w14:paraId="540C5256" w14:textId="2DF65996" w:rsidR="00FB00B5" w:rsidRDefault="0017080F" w:rsidP="00FB00B5">
      <w:pPr>
        <w:pStyle w:val="ListParagraph"/>
        <w:numPr>
          <w:ilvl w:val="0"/>
          <w:numId w:val="33"/>
        </w:numPr>
        <w:spacing w:before="80" w:after="0" w:line="240" w:lineRule="auto"/>
        <w:ind w:left="1080"/>
      </w:pPr>
      <w:r>
        <w:lastRenderedPageBreak/>
        <w:t>Within 6 months of the effective date of this policy, personnel who are responsible for small purchases, competitive procurements, and contract management activities shall complete the mand</w:t>
      </w:r>
      <w:r w:rsidR="00FB00B5">
        <w:t xml:space="preserve">atory training available in The </w:t>
      </w:r>
      <w:r>
        <w:t xml:space="preserve">Learning </w:t>
      </w:r>
      <w:r w:rsidR="00FB00B5">
        <w:t>Center</w:t>
      </w:r>
      <w:r>
        <w:t xml:space="preserve"> and titled </w:t>
      </w:r>
      <w:r w:rsidRPr="00FB00B5">
        <w:rPr>
          <w:highlight w:val="yellow"/>
        </w:rPr>
        <w:t xml:space="preserve">WA-State </w:t>
      </w:r>
      <w:r w:rsidR="00FB00B5" w:rsidRPr="00FB00B5">
        <w:rPr>
          <w:highlight w:val="yellow"/>
        </w:rPr>
        <w:t>Supplier Diversity in Procurements</w:t>
      </w:r>
      <w:r>
        <w:t xml:space="preserve">. </w:t>
      </w:r>
    </w:p>
    <w:p w14:paraId="3FECA85E" w14:textId="77777777" w:rsidR="00FB00B5" w:rsidRDefault="00FB00B5" w:rsidP="00FB00B5">
      <w:pPr>
        <w:pStyle w:val="ListParagraph"/>
        <w:spacing w:before="80" w:after="0" w:line="240" w:lineRule="auto"/>
        <w:ind w:left="360"/>
      </w:pPr>
    </w:p>
    <w:p w14:paraId="36884C02" w14:textId="5BB7F177" w:rsidR="0017080F" w:rsidRPr="00FB00B5" w:rsidRDefault="0017080F" w:rsidP="00FB00B5">
      <w:pPr>
        <w:pStyle w:val="ListParagraph"/>
        <w:numPr>
          <w:ilvl w:val="0"/>
          <w:numId w:val="33"/>
        </w:numPr>
        <w:spacing w:before="80" w:after="0" w:line="240" w:lineRule="auto"/>
        <w:ind w:left="1080"/>
        <w:rPr>
          <w:rFonts w:ascii="Calibri" w:hAnsi="Calibri" w:cstheme="minorHAnsi"/>
        </w:rPr>
      </w:pPr>
      <w:r>
        <w:t>Employees assigned these responsibilities after the initial 6-month implementation period of this policy shall complete the required training within 90 days of assignment. Specifically, this applies to all new employees, employee’s assigned new responsibilities/duties, and employees in new positions, who are responsib</w:t>
      </w:r>
      <w:r w:rsidR="00FB00B5">
        <w:t>le for competitive procurements.</w:t>
      </w:r>
    </w:p>
    <w:p w14:paraId="0A2865A0" w14:textId="77777777" w:rsidR="007A23F7" w:rsidRPr="007A23F7" w:rsidRDefault="007A23F7" w:rsidP="007A23F7">
      <w:pPr>
        <w:pStyle w:val="ListParagraph"/>
        <w:spacing w:after="0" w:line="240" w:lineRule="auto"/>
        <w:ind w:left="360"/>
        <w:rPr>
          <w:rFonts w:ascii="Calibri" w:hAnsi="Calibri" w:cstheme="minorHAnsi"/>
        </w:rPr>
      </w:pPr>
    </w:p>
    <w:p w14:paraId="7337B5C2" w14:textId="29AF6315" w:rsidR="007A23F7" w:rsidRDefault="007A23F7" w:rsidP="007A23F7">
      <w:pPr>
        <w:pStyle w:val="NoSpacing"/>
        <w:numPr>
          <w:ilvl w:val="0"/>
          <w:numId w:val="16"/>
        </w:num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7A23F7">
        <w:rPr>
          <w:rFonts w:asciiTheme="minorHAnsi" w:hAnsiTheme="minorHAnsi" w:cstheme="minorHAnsi"/>
          <w:sz w:val="22"/>
          <w:szCs w:val="22"/>
        </w:rPr>
        <w:t xml:space="preserve">Documenting compliance with this policy. </w:t>
      </w:r>
    </w:p>
    <w:p w14:paraId="2824194C" w14:textId="77777777" w:rsidR="005F33B7" w:rsidRDefault="005F33B7" w:rsidP="005F33B7">
      <w:pPr>
        <w:pStyle w:val="NoSpacing"/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04B21E" w14:textId="6B91F98E" w:rsidR="005F33B7" w:rsidRPr="000757B8" w:rsidRDefault="00E611E8" w:rsidP="009666C4">
      <w:pPr>
        <w:pStyle w:val="NoSpacing"/>
        <w:spacing w:before="120"/>
        <w:ind w:left="360" w:hanging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6C4">
        <w:rPr>
          <w:rFonts w:asciiTheme="minorHAnsi" w:hAnsiTheme="minorHAnsi" w:cstheme="minorHAnsi"/>
          <w:b/>
          <w:sz w:val="22"/>
          <w:szCs w:val="22"/>
        </w:rPr>
        <w:t>C.</w:t>
      </w:r>
      <w:r w:rsidRPr="000757B8">
        <w:rPr>
          <w:rFonts w:ascii="Calibri" w:hAnsi="Calibri" w:cstheme="minorHAnsi"/>
          <w:b/>
        </w:rPr>
        <w:tab/>
      </w:r>
      <w:r w:rsidR="005F33B7" w:rsidRPr="000757B8">
        <w:rPr>
          <w:rFonts w:asciiTheme="minorHAnsi" w:hAnsiTheme="minorHAnsi" w:cstheme="minorHAnsi"/>
          <w:b/>
          <w:sz w:val="22"/>
          <w:szCs w:val="22"/>
        </w:rPr>
        <w:t>Procurement and Contracting Professionals</w:t>
      </w:r>
      <w:r w:rsidR="005F33B7">
        <w:rPr>
          <w:rFonts w:asciiTheme="minorHAnsi" w:hAnsiTheme="minorHAnsi" w:cstheme="minorHAnsi"/>
          <w:b/>
          <w:sz w:val="22"/>
          <w:szCs w:val="22"/>
        </w:rPr>
        <w:t xml:space="preserve"> will implement supplier d</w:t>
      </w:r>
      <w:r w:rsidR="005F33B7" w:rsidRPr="000757B8">
        <w:rPr>
          <w:rFonts w:asciiTheme="minorHAnsi" w:hAnsiTheme="minorHAnsi" w:cstheme="minorHAnsi"/>
          <w:b/>
          <w:sz w:val="22"/>
          <w:szCs w:val="22"/>
        </w:rPr>
        <w:t>iversity</w:t>
      </w:r>
      <w:r w:rsidR="005F33B7">
        <w:rPr>
          <w:rFonts w:asciiTheme="minorHAnsi" w:hAnsiTheme="minorHAnsi" w:cstheme="minorHAnsi"/>
          <w:b/>
          <w:sz w:val="22"/>
          <w:szCs w:val="22"/>
        </w:rPr>
        <w:t xml:space="preserve"> on all </w:t>
      </w:r>
      <w:r w:rsidR="005F33B7" w:rsidRPr="00864781">
        <w:rPr>
          <w:rFonts w:asciiTheme="minorHAnsi" w:hAnsiTheme="minorHAnsi" w:cstheme="minorHAnsi"/>
          <w:b/>
          <w:sz w:val="22"/>
          <w:szCs w:val="22"/>
        </w:rPr>
        <w:t>competitive</w:t>
      </w:r>
      <w:r w:rsidR="005F33B7">
        <w:rPr>
          <w:rFonts w:asciiTheme="minorHAnsi" w:hAnsiTheme="minorHAnsi" w:cstheme="minorHAnsi"/>
          <w:b/>
          <w:sz w:val="22"/>
          <w:szCs w:val="22"/>
        </w:rPr>
        <w:t xml:space="preserve"> procurements </w:t>
      </w:r>
      <w:r w:rsidR="005F33B7" w:rsidRPr="000757B8">
        <w:rPr>
          <w:rFonts w:asciiTheme="minorHAnsi" w:hAnsiTheme="minorHAnsi" w:cstheme="minorHAnsi"/>
          <w:b/>
          <w:sz w:val="22"/>
          <w:szCs w:val="22"/>
        </w:rPr>
        <w:t xml:space="preserve">through: </w:t>
      </w:r>
    </w:p>
    <w:p w14:paraId="732AC227" w14:textId="77777777" w:rsidR="005F33B7" w:rsidRDefault="005F33B7" w:rsidP="005F33B7">
      <w:pPr>
        <w:pStyle w:val="ListParagraph"/>
        <w:rPr>
          <w:rFonts w:cstheme="minorHAnsi"/>
        </w:rPr>
      </w:pPr>
    </w:p>
    <w:p w14:paraId="13DAB085" w14:textId="0A32B7EB" w:rsidR="005F33B7" w:rsidRPr="0031445F" w:rsidRDefault="00E520DE" w:rsidP="00920107">
      <w:pPr>
        <w:pStyle w:val="NoSpacing"/>
        <w:numPr>
          <w:ilvl w:val="0"/>
          <w:numId w:val="32"/>
        </w:numPr>
        <w:spacing w:after="240"/>
        <w:ind w:left="720"/>
        <w:contextualSpacing/>
        <w:jc w:val="both"/>
        <w:rPr>
          <w:rFonts w:ascii="Calibri" w:hAnsi="Calibri" w:cstheme="minorHAnsi"/>
          <w:sz w:val="22"/>
          <w:szCs w:val="22"/>
        </w:rPr>
      </w:pPr>
      <w:commentRangeStart w:id="1"/>
      <w:r w:rsidRPr="0031445F">
        <w:rPr>
          <w:rFonts w:ascii="Calibri" w:hAnsi="Calibri" w:cstheme="minorHAnsi"/>
          <w:sz w:val="22"/>
          <w:szCs w:val="22"/>
        </w:rPr>
        <w:t xml:space="preserve">Option A: </w:t>
      </w:r>
      <w:r w:rsidR="005F33B7" w:rsidRPr="0031445F">
        <w:rPr>
          <w:rFonts w:ascii="Calibri" w:hAnsi="Calibri" w:cstheme="minorHAnsi"/>
          <w:sz w:val="22"/>
          <w:szCs w:val="22"/>
        </w:rPr>
        <w:t>Awarding competitively procured contracts</w:t>
      </w:r>
      <w:r w:rsidR="00920107" w:rsidRPr="0031445F">
        <w:rPr>
          <w:rFonts w:ascii="Calibri" w:hAnsi="Calibri" w:cstheme="minorHAnsi"/>
          <w:sz w:val="22"/>
          <w:szCs w:val="22"/>
        </w:rPr>
        <w:t xml:space="preserve"> with an initial contract value less than $150,000</w:t>
      </w:r>
      <w:r w:rsidR="005F33B7" w:rsidRPr="0031445F">
        <w:rPr>
          <w:rFonts w:ascii="Calibri" w:hAnsi="Calibri" w:cstheme="minorHAnsi"/>
          <w:sz w:val="22"/>
          <w:szCs w:val="22"/>
        </w:rPr>
        <w:t xml:space="preserve"> to the highest-ranked responsive and responsible small </w:t>
      </w:r>
      <w:r w:rsidR="002E5C3A">
        <w:rPr>
          <w:rFonts w:ascii="Calibri" w:hAnsi="Calibri" w:cstheme="minorHAnsi"/>
          <w:sz w:val="22"/>
          <w:szCs w:val="22"/>
        </w:rPr>
        <w:t xml:space="preserve">(that meets the size or </w:t>
      </w:r>
      <w:r w:rsidR="00D7612F">
        <w:rPr>
          <w:rFonts w:ascii="Calibri" w:hAnsi="Calibri" w:cstheme="minorHAnsi"/>
          <w:sz w:val="22"/>
          <w:szCs w:val="22"/>
        </w:rPr>
        <w:t>gross revenue</w:t>
      </w:r>
      <w:r w:rsidR="002E5C3A">
        <w:rPr>
          <w:rFonts w:ascii="Calibri" w:hAnsi="Calibri" w:cstheme="minorHAnsi"/>
          <w:sz w:val="22"/>
          <w:szCs w:val="22"/>
        </w:rPr>
        <w:t xml:space="preserve"> as defined in RCW 39.26.010(22</w:t>
      </w:r>
      <w:proofErr w:type="gramStart"/>
      <w:r w:rsidR="002E5C3A">
        <w:rPr>
          <w:rFonts w:ascii="Calibri" w:hAnsi="Calibri" w:cstheme="minorHAnsi"/>
          <w:sz w:val="22"/>
          <w:szCs w:val="22"/>
        </w:rPr>
        <w:t>)</w:t>
      </w:r>
      <w:r w:rsidR="00D7612F">
        <w:rPr>
          <w:rFonts w:ascii="Calibri" w:hAnsi="Calibri" w:cstheme="minorHAnsi"/>
          <w:sz w:val="22"/>
          <w:szCs w:val="22"/>
        </w:rPr>
        <w:t>(</w:t>
      </w:r>
      <w:proofErr w:type="gramEnd"/>
      <w:r w:rsidR="00D7612F">
        <w:rPr>
          <w:rFonts w:ascii="Calibri" w:hAnsi="Calibri" w:cstheme="minorHAnsi"/>
          <w:sz w:val="22"/>
          <w:szCs w:val="22"/>
        </w:rPr>
        <w:t>a)(</w:t>
      </w:r>
      <w:proofErr w:type="spellStart"/>
      <w:r w:rsidR="00D7612F">
        <w:rPr>
          <w:rFonts w:ascii="Calibri" w:hAnsi="Calibri" w:cstheme="minorHAnsi"/>
          <w:sz w:val="22"/>
          <w:szCs w:val="22"/>
        </w:rPr>
        <w:t>i</w:t>
      </w:r>
      <w:proofErr w:type="spellEnd"/>
      <w:r w:rsidR="00D7612F">
        <w:rPr>
          <w:rFonts w:ascii="Calibri" w:hAnsi="Calibri" w:cstheme="minorHAnsi"/>
          <w:sz w:val="22"/>
          <w:szCs w:val="22"/>
        </w:rPr>
        <w:t>)(ii)</w:t>
      </w:r>
      <w:r w:rsidR="002E5C3A">
        <w:rPr>
          <w:rFonts w:ascii="Calibri" w:hAnsi="Calibri" w:cstheme="minorHAnsi"/>
          <w:sz w:val="22"/>
          <w:szCs w:val="22"/>
        </w:rPr>
        <w:t xml:space="preserve"> </w:t>
      </w:r>
      <w:r w:rsidR="002E5C3A" w:rsidRPr="0031445F">
        <w:rPr>
          <w:rFonts w:ascii="Calibri" w:hAnsi="Calibri" w:cstheme="minorHAnsi"/>
          <w:sz w:val="22"/>
          <w:szCs w:val="22"/>
        </w:rPr>
        <w:t>or veteran</w:t>
      </w:r>
      <w:r w:rsidR="002E5C3A">
        <w:rPr>
          <w:rFonts w:ascii="Calibri" w:hAnsi="Calibri" w:cstheme="minorHAnsi"/>
          <w:sz w:val="22"/>
          <w:szCs w:val="22"/>
        </w:rPr>
        <w:t>-owned</w:t>
      </w:r>
      <w:r w:rsidR="002E5C3A" w:rsidRPr="0031445F">
        <w:rPr>
          <w:rFonts w:ascii="Calibri" w:hAnsi="Calibri" w:cstheme="minorHAnsi"/>
          <w:sz w:val="22"/>
          <w:szCs w:val="22"/>
        </w:rPr>
        <w:t xml:space="preserve"> business to bid</w:t>
      </w:r>
      <w:r w:rsidR="002E5C3A" w:rsidRPr="0031445F">
        <w:t xml:space="preserve"> </w:t>
      </w:r>
      <w:r w:rsidR="002E5C3A" w:rsidRPr="0031445F">
        <w:rPr>
          <w:rFonts w:ascii="Calibri" w:hAnsi="Calibri" w:cstheme="minorHAnsi"/>
          <w:sz w:val="22"/>
          <w:szCs w:val="22"/>
        </w:rPr>
        <w:t>that provides the best value to the state, unless there was no responsive and responsible bid from a small or veteran</w:t>
      </w:r>
      <w:r w:rsidR="002E5C3A">
        <w:rPr>
          <w:rFonts w:ascii="Calibri" w:hAnsi="Calibri" w:cstheme="minorHAnsi"/>
          <w:sz w:val="22"/>
          <w:szCs w:val="22"/>
        </w:rPr>
        <w:t>-owned</w:t>
      </w:r>
      <w:r w:rsidR="002E5C3A" w:rsidRPr="0031445F">
        <w:rPr>
          <w:rFonts w:ascii="Calibri" w:hAnsi="Calibri" w:cstheme="minorHAnsi"/>
          <w:sz w:val="22"/>
          <w:szCs w:val="22"/>
        </w:rPr>
        <w:t xml:space="preserve"> business</w:t>
      </w:r>
      <w:r w:rsidR="002E5C3A">
        <w:rPr>
          <w:rFonts w:ascii="Calibri" w:hAnsi="Calibri" w:cstheme="minorHAnsi"/>
          <w:sz w:val="22"/>
          <w:szCs w:val="22"/>
        </w:rPr>
        <w:t>.</w:t>
      </w:r>
    </w:p>
    <w:p w14:paraId="43A78CFC" w14:textId="0CE72C14" w:rsidR="00E520DE" w:rsidRPr="0031445F" w:rsidRDefault="00E520DE" w:rsidP="00E520DE">
      <w:pPr>
        <w:pStyle w:val="NoSpacing"/>
        <w:spacing w:after="240"/>
        <w:ind w:left="720"/>
        <w:contextualSpacing/>
        <w:jc w:val="both"/>
        <w:rPr>
          <w:rFonts w:ascii="Calibri" w:hAnsi="Calibri" w:cstheme="minorHAnsi"/>
          <w:sz w:val="22"/>
          <w:szCs w:val="22"/>
        </w:rPr>
      </w:pPr>
    </w:p>
    <w:p w14:paraId="7B5D2A7B" w14:textId="4813E1F5" w:rsidR="00E520DE" w:rsidRPr="000757B8" w:rsidRDefault="00E520DE" w:rsidP="00E520DE">
      <w:pPr>
        <w:pStyle w:val="NoSpacing"/>
        <w:spacing w:after="240"/>
        <w:ind w:left="720"/>
        <w:contextualSpacing/>
        <w:jc w:val="both"/>
        <w:rPr>
          <w:rFonts w:ascii="Calibri" w:hAnsi="Calibri" w:cstheme="minorHAnsi"/>
          <w:sz w:val="22"/>
          <w:szCs w:val="22"/>
        </w:rPr>
      </w:pPr>
      <w:r w:rsidRPr="0031445F">
        <w:rPr>
          <w:rFonts w:ascii="Calibri" w:hAnsi="Calibri" w:cstheme="minorHAnsi"/>
          <w:sz w:val="22"/>
          <w:szCs w:val="22"/>
        </w:rPr>
        <w:t xml:space="preserve">Option B: Awarding 25% of </w:t>
      </w:r>
      <w:r w:rsidR="00920107" w:rsidRPr="0031445F">
        <w:rPr>
          <w:rFonts w:ascii="Calibri" w:hAnsi="Calibri" w:cstheme="minorHAnsi"/>
          <w:sz w:val="22"/>
          <w:szCs w:val="22"/>
        </w:rPr>
        <w:t xml:space="preserve">all </w:t>
      </w:r>
      <w:r w:rsidR="0063251C" w:rsidRPr="0031445F">
        <w:rPr>
          <w:rFonts w:ascii="Calibri" w:hAnsi="Calibri" w:cstheme="minorHAnsi"/>
          <w:sz w:val="22"/>
          <w:szCs w:val="22"/>
        </w:rPr>
        <w:t xml:space="preserve">competitively </w:t>
      </w:r>
      <w:r w:rsidRPr="0031445F">
        <w:rPr>
          <w:rFonts w:ascii="Calibri" w:hAnsi="Calibri" w:cstheme="minorHAnsi"/>
          <w:sz w:val="22"/>
          <w:szCs w:val="22"/>
        </w:rPr>
        <w:t>procured contract</w:t>
      </w:r>
      <w:r w:rsidR="00920107" w:rsidRPr="0031445F">
        <w:rPr>
          <w:rFonts w:ascii="Calibri" w:hAnsi="Calibri" w:cstheme="minorHAnsi"/>
          <w:sz w:val="22"/>
          <w:szCs w:val="22"/>
        </w:rPr>
        <w:t>s</w:t>
      </w:r>
      <w:r w:rsidRPr="0031445F">
        <w:rPr>
          <w:rFonts w:ascii="Calibri" w:hAnsi="Calibri" w:cstheme="minorHAnsi"/>
          <w:sz w:val="22"/>
          <w:szCs w:val="22"/>
        </w:rPr>
        <w:t xml:space="preserve"> to the highest-ranked responsive and responsible small </w:t>
      </w:r>
      <w:r w:rsidR="002E5C3A">
        <w:rPr>
          <w:rFonts w:ascii="Calibri" w:hAnsi="Calibri" w:cstheme="minorHAnsi"/>
          <w:sz w:val="22"/>
          <w:szCs w:val="22"/>
        </w:rPr>
        <w:t xml:space="preserve">(that meets the size or </w:t>
      </w:r>
      <w:r w:rsidR="00D7612F">
        <w:rPr>
          <w:rFonts w:ascii="Calibri" w:hAnsi="Calibri" w:cstheme="minorHAnsi"/>
          <w:sz w:val="22"/>
          <w:szCs w:val="22"/>
        </w:rPr>
        <w:t>gross revenue</w:t>
      </w:r>
      <w:r w:rsidR="002E5C3A">
        <w:rPr>
          <w:rFonts w:ascii="Calibri" w:hAnsi="Calibri" w:cstheme="minorHAnsi"/>
          <w:sz w:val="22"/>
          <w:szCs w:val="22"/>
        </w:rPr>
        <w:t xml:space="preserve"> as defined in RCW 39.26.010(22)</w:t>
      </w:r>
      <w:r w:rsidR="00D7612F">
        <w:rPr>
          <w:rFonts w:ascii="Calibri" w:hAnsi="Calibri" w:cstheme="minorHAnsi"/>
          <w:sz w:val="22"/>
          <w:szCs w:val="22"/>
        </w:rPr>
        <w:t>(a)(</w:t>
      </w:r>
      <w:proofErr w:type="spellStart"/>
      <w:r w:rsidR="00D7612F">
        <w:rPr>
          <w:rFonts w:ascii="Calibri" w:hAnsi="Calibri" w:cstheme="minorHAnsi"/>
          <w:sz w:val="22"/>
          <w:szCs w:val="22"/>
        </w:rPr>
        <w:t>i</w:t>
      </w:r>
      <w:proofErr w:type="spellEnd"/>
      <w:r w:rsidR="00D7612F">
        <w:rPr>
          <w:rFonts w:ascii="Calibri" w:hAnsi="Calibri" w:cstheme="minorHAnsi"/>
          <w:sz w:val="22"/>
          <w:szCs w:val="22"/>
        </w:rPr>
        <w:t>)(ii)</w:t>
      </w:r>
      <w:r w:rsidR="002E5C3A">
        <w:rPr>
          <w:rFonts w:ascii="Calibri" w:hAnsi="Calibri" w:cstheme="minorHAnsi"/>
          <w:sz w:val="22"/>
          <w:szCs w:val="22"/>
        </w:rPr>
        <w:t xml:space="preserve"> </w:t>
      </w:r>
      <w:r w:rsidRPr="0031445F">
        <w:rPr>
          <w:rFonts w:ascii="Calibri" w:hAnsi="Calibri" w:cstheme="minorHAnsi"/>
          <w:sz w:val="22"/>
          <w:szCs w:val="22"/>
        </w:rPr>
        <w:t>or veteran</w:t>
      </w:r>
      <w:r w:rsidR="002E5C3A">
        <w:rPr>
          <w:rFonts w:ascii="Calibri" w:hAnsi="Calibri" w:cstheme="minorHAnsi"/>
          <w:sz w:val="22"/>
          <w:szCs w:val="22"/>
        </w:rPr>
        <w:t>-owned</w:t>
      </w:r>
      <w:r w:rsidRPr="0031445F">
        <w:rPr>
          <w:rFonts w:ascii="Calibri" w:hAnsi="Calibri" w:cstheme="minorHAnsi"/>
          <w:sz w:val="22"/>
          <w:szCs w:val="22"/>
        </w:rPr>
        <w:t xml:space="preserve"> business to bid</w:t>
      </w:r>
      <w:r w:rsidR="00920107" w:rsidRPr="0031445F">
        <w:rPr>
          <w:rFonts w:ascii="Calibri" w:hAnsi="Calibri" w:cstheme="minorHAnsi"/>
          <w:sz w:val="22"/>
          <w:szCs w:val="22"/>
        </w:rPr>
        <w:t xml:space="preserve"> that provides the best value to the state</w:t>
      </w:r>
      <w:r w:rsidRPr="0031445F">
        <w:rPr>
          <w:rFonts w:ascii="Calibri" w:hAnsi="Calibri" w:cstheme="minorHAnsi"/>
          <w:sz w:val="22"/>
          <w:szCs w:val="22"/>
        </w:rPr>
        <w:t>, unless there was no responsive and responsible bid from a small or veteran</w:t>
      </w:r>
      <w:r w:rsidR="002E5C3A">
        <w:rPr>
          <w:rFonts w:ascii="Calibri" w:hAnsi="Calibri" w:cstheme="minorHAnsi"/>
          <w:sz w:val="22"/>
          <w:szCs w:val="22"/>
        </w:rPr>
        <w:t>-owned</w:t>
      </w:r>
      <w:r w:rsidRPr="0031445F">
        <w:rPr>
          <w:rFonts w:ascii="Calibri" w:hAnsi="Calibri" w:cstheme="minorHAnsi"/>
          <w:sz w:val="22"/>
          <w:szCs w:val="22"/>
        </w:rPr>
        <w:t xml:space="preserve"> business.</w:t>
      </w:r>
      <w:commentRangeEnd w:id="1"/>
      <w:r w:rsidRPr="0031445F">
        <w:rPr>
          <w:rStyle w:val="CommentReference"/>
          <w:rFonts w:asciiTheme="minorHAnsi" w:hAnsiTheme="minorHAnsi" w:cstheme="minorBidi"/>
          <w:lang w:bidi="ar-SA"/>
        </w:rPr>
        <w:commentReference w:id="1"/>
      </w:r>
    </w:p>
    <w:p w14:paraId="47B2952A" w14:textId="77777777" w:rsidR="005F33B7" w:rsidRPr="000757B8" w:rsidRDefault="005F33B7" w:rsidP="0017080F">
      <w:pPr>
        <w:pStyle w:val="ListParagraph"/>
        <w:numPr>
          <w:ilvl w:val="0"/>
          <w:numId w:val="32"/>
        </w:numPr>
        <w:spacing w:before="80" w:after="240" w:line="240" w:lineRule="auto"/>
        <w:ind w:left="720"/>
        <w:rPr>
          <w:rFonts w:ascii="Calibri" w:hAnsi="Calibri" w:cstheme="minorHAnsi"/>
        </w:rPr>
      </w:pPr>
      <w:commentRangeStart w:id="2"/>
      <w:r w:rsidRPr="000757B8">
        <w:rPr>
          <w:rFonts w:ascii="Calibri" w:hAnsi="Calibri" w:cstheme="minorHAnsi"/>
        </w:rPr>
        <w:t>Conducting a pre-bid conference for each competitive solicitation.</w:t>
      </w:r>
      <w:commentRangeEnd w:id="2"/>
      <w:r w:rsidR="00E520DE">
        <w:rPr>
          <w:rStyle w:val="CommentReference"/>
        </w:rPr>
        <w:commentReference w:id="2"/>
      </w:r>
    </w:p>
    <w:p w14:paraId="2911449A" w14:textId="77777777" w:rsidR="005F33B7" w:rsidRPr="000757B8" w:rsidRDefault="005F33B7" w:rsidP="0017080F">
      <w:pPr>
        <w:pStyle w:val="ListParagraph"/>
        <w:spacing w:before="80" w:after="240" w:line="240" w:lineRule="auto"/>
        <w:ind w:left="360"/>
        <w:rPr>
          <w:rFonts w:ascii="Calibri" w:hAnsi="Calibri" w:cstheme="minorHAnsi"/>
        </w:rPr>
      </w:pPr>
    </w:p>
    <w:p w14:paraId="4878D606" w14:textId="7B726F8F" w:rsidR="005F33B7" w:rsidRDefault="005F33B7" w:rsidP="00E37989">
      <w:pPr>
        <w:pStyle w:val="ListParagraph"/>
        <w:numPr>
          <w:ilvl w:val="0"/>
          <w:numId w:val="32"/>
        </w:numPr>
        <w:spacing w:after="240" w:line="240" w:lineRule="auto"/>
        <w:ind w:left="720"/>
        <w:rPr>
          <w:rFonts w:ascii="Calibri" w:hAnsi="Calibri" w:cstheme="minorHAnsi"/>
        </w:rPr>
      </w:pPr>
      <w:r w:rsidRPr="000757B8">
        <w:rPr>
          <w:rFonts w:ascii="Calibri" w:hAnsi="Calibri" w:cstheme="minorHAnsi"/>
        </w:rPr>
        <w:t>Using solicitation/contract language that encourages the participation of small, diverse, and/or veteran-owned businesses</w:t>
      </w:r>
      <w:r w:rsidR="002B393F">
        <w:rPr>
          <w:rFonts w:ascii="Calibri" w:hAnsi="Calibri" w:cstheme="minorHAnsi"/>
        </w:rPr>
        <w:t>.</w:t>
      </w:r>
    </w:p>
    <w:p w14:paraId="24A4497D" w14:textId="77777777" w:rsidR="00285F8B" w:rsidRPr="00864781" w:rsidRDefault="00285F8B" w:rsidP="00864781">
      <w:pPr>
        <w:pStyle w:val="ListParagraph"/>
        <w:rPr>
          <w:rFonts w:ascii="Calibri" w:hAnsi="Calibri" w:cstheme="minorHAnsi"/>
        </w:rPr>
      </w:pPr>
    </w:p>
    <w:p w14:paraId="7B7CB357" w14:textId="0699E9F5" w:rsidR="00E37989" w:rsidRPr="00E37989" w:rsidRDefault="009F0C0E" w:rsidP="00E37989">
      <w:pPr>
        <w:pStyle w:val="ListParagraph"/>
        <w:numPr>
          <w:ilvl w:val="0"/>
          <w:numId w:val="32"/>
        </w:numPr>
        <w:spacing w:after="240" w:line="240" w:lineRule="auto"/>
        <w:ind w:left="720"/>
        <w:rPr>
          <w:rFonts w:ascii="Calibri" w:hAnsi="Calibri" w:cstheme="minorHAnsi"/>
        </w:rPr>
      </w:pPr>
      <w:r w:rsidRPr="00E37989">
        <w:rPr>
          <w:rFonts w:ascii="Calibri" w:hAnsi="Calibri" w:cstheme="minorHAnsi"/>
        </w:rPr>
        <w:t xml:space="preserve">Procurement and Contracting Professionals will use </w:t>
      </w:r>
      <w:r w:rsidR="003511DD" w:rsidRPr="00E37989">
        <w:rPr>
          <w:rFonts w:ascii="Calibri" w:hAnsi="Calibri" w:cstheme="minorHAnsi"/>
        </w:rPr>
        <w:t xml:space="preserve">one or more of </w:t>
      </w:r>
      <w:r w:rsidR="001B495A" w:rsidRPr="00E37989">
        <w:rPr>
          <w:rFonts w:ascii="Calibri" w:hAnsi="Calibri" w:cstheme="minorHAnsi"/>
        </w:rPr>
        <w:t xml:space="preserve">the </w:t>
      </w:r>
      <w:r w:rsidRPr="00E37989">
        <w:rPr>
          <w:rFonts w:ascii="Calibri" w:hAnsi="Calibri" w:cstheme="minorHAnsi"/>
        </w:rPr>
        <w:t xml:space="preserve">strategies </w:t>
      </w:r>
      <w:r w:rsidR="001B495A" w:rsidRPr="00E37989">
        <w:rPr>
          <w:rFonts w:ascii="Calibri" w:hAnsi="Calibri" w:cstheme="minorHAnsi"/>
        </w:rPr>
        <w:t>listed below</w:t>
      </w:r>
      <w:r w:rsidR="00FA10EB" w:rsidRPr="00E37989">
        <w:rPr>
          <w:rFonts w:ascii="Calibri" w:hAnsi="Calibri" w:cstheme="minorHAnsi"/>
        </w:rPr>
        <w:t>. Selecting appropriate strategies will be based on the results of outreach, analysis of business needs, and relevant market research</w:t>
      </w:r>
      <w:r w:rsidR="00E37989">
        <w:rPr>
          <w:rFonts w:ascii="Calibri" w:hAnsi="Calibri" w:cstheme="minorHAnsi"/>
        </w:rPr>
        <w:t>.</w:t>
      </w:r>
    </w:p>
    <w:p w14:paraId="31AA6551" w14:textId="3BC78521" w:rsidR="00CE2244" w:rsidRPr="000757B8" w:rsidRDefault="00E3396C" w:rsidP="00E37989">
      <w:pPr>
        <w:pStyle w:val="ListParagraph"/>
        <w:numPr>
          <w:ilvl w:val="0"/>
          <w:numId w:val="25"/>
        </w:numPr>
        <w:spacing w:before="80" w:after="0" w:line="240" w:lineRule="auto"/>
        <w:rPr>
          <w:rFonts w:ascii="Calibri" w:hAnsi="Calibri" w:cstheme="minorHAnsi"/>
        </w:rPr>
      </w:pPr>
      <w:r w:rsidRPr="000757B8">
        <w:rPr>
          <w:rFonts w:ascii="Calibri" w:hAnsi="Calibri" w:cstheme="minorHAnsi"/>
        </w:rPr>
        <w:t>C</w:t>
      </w:r>
      <w:r w:rsidR="00192040" w:rsidRPr="000757B8">
        <w:rPr>
          <w:rFonts w:ascii="Calibri" w:hAnsi="Calibri" w:cstheme="minorHAnsi"/>
        </w:rPr>
        <w:t>onducting an u</w:t>
      </w:r>
      <w:r w:rsidR="00F007DB" w:rsidRPr="000757B8">
        <w:rPr>
          <w:rFonts w:ascii="Calibri" w:hAnsi="Calibri" w:cstheme="minorHAnsi"/>
        </w:rPr>
        <w:t>nbundling</w:t>
      </w:r>
      <w:r w:rsidR="00192040" w:rsidRPr="000757B8">
        <w:rPr>
          <w:rFonts w:ascii="Calibri" w:hAnsi="Calibri" w:cstheme="minorHAnsi"/>
        </w:rPr>
        <w:t xml:space="preserve"> </w:t>
      </w:r>
      <w:r w:rsidR="00F007DB" w:rsidRPr="000757B8">
        <w:rPr>
          <w:rFonts w:ascii="Calibri" w:hAnsi="Calibri" w:cstheme="minorHAnsi"/>
        </w:rPr>
        <w:t>analysis</w:t>
      </w:r>
      <w:r w:rsidR="009F0C0E" w:rsidRPr="000757B8">
        <w:rPr>
          <w:rFonts w:ascii="Calibri" w:hAnsi="Calibri" w:cstheme="minorHAnsi"/>
        </w:rPr>
        <w:t xml:space="preserve"> for every competitive solicitation</w:t>
      </w:r>
      <w:r w:rsidR="00F007DB" w:rsidRPr="000757B8">
        <w:rPr>
          <w:rFonts w:ascii="Calibri" w:hAnsi="Calibri" w:cstheme="minorHAnsi"/>
        </w:rPr>
        <w:t xml:space="preserve"> </w:t>
      </w:r>
    </w:p>
    <w:p w14:paraId="70FDA007" w14:textId="77777777" w:rsidR="00B16EF5" w:rsidRPr="000757B8" w:rsidRDefault="00B16EF5" w:rsidP="00E37989">
      <w:pPr>
        <w:pStyle w:val="ListParagraph"/>
        <w:ind w:left="1080"/>
        <w:rPr>
          <w:rFonts w:ascii="Calibri" w:hAnsi="Calibri" w:cstheme="minorHAnsi"/>
        </w:rPr>
      </w:pPr>
    </w:p>
    <w:p w14:paraId="4CF110F2" w14:textId="412CEAD6" w:rsidR="00B16EF5" w:rsidRPr="0031445F" w:rsidRDefault="00E3396C" w:rsidP="00E37989">
      <w:pPr>
        <w:pStyle w:val="ListParagraph"/>
        <w:numPr>
          <w:ilvl w:val="0"/>
          <w:numId w:val="25"/>
        </w:numPr>
        <w:spacing w:after="0" w:line="240" w:lineRule="auto"/>
        <w:rPr>
          <w:rFonts w:ascii="Calibri" w:hAnsi="Calibri" w:cstheme="minorHAnsi"/>
        </w:rPr>
      </w:pPr>
      <w:r w:rsidRPr="0031445F">
        <w:rPr>
          <w:rFonts w:ascii="Calibri" w:hAnsi="Calibri" w:cstheme="minorHAnsi"/>
        </w:rPr>
        <w:t>A</w:t>
      </w:r>
      <w:r w:rsidR="00B16EF5" w:rsidRPr="0031445F">
        <w:rPr>
          <w:rFonts w:ascii="Calibri" w:hAnsi="Calibri" w:cstheme="minorHAnsi"/>
        </w:rPr>
        <w:t xml:space="preserve">warding evaluation points to small </w:t>
      </w:r>
      <w:r w:rsidR="00C15C2E">
        <w:rPr>
          <w:rFonts w:ascii="Calibri" w:hAnsi="Calibri" w:cstheme="minorHAnsi"/>
        </w:rPr>
        <w:t>(that meets the size or gross revenue as defined in RCW 39.26.010(22</w:t>
      </w:r>
      <w:proofErr w:type="gramStart"/>
      <w:r w:rsidR="00C15C2E">
        <w:rPr>
          <w:rFonts w:ascii="Calibri" w:hAnsi="Calibri" w:cstheme="minorHAnsi"/>
        </w:rPr>
        <w:t>)(</w:t>
      </w:r>
      <w:proofErr w:type="gramEnd"/>
      <w:r w:rsidR="00C15C2E">
        <w:rPr>
          <w:rFonts w:ascii="Calibri" w:hAnsi="Calibri" w:cstheme="minorHAnsi"/>
        </w:rPr>
        <w:t>a)(</w:t>
      </w:r>
      <w:proofErr w:type="spellStart"/>
      <w:r w:rsidR="00C15C2E">
        <w:rPr>
          <w:rFonts w:ascii="Calibri" w:hAnsi="Calibri" w:cstheme="minorHAnsi"/>
        </w:rPr>
        <w:t>i</w:t>
      </w:r>
      <w:proofErr w:type="spellEnd"/>
      <w:r w:rsidR="00C15C2E">
        <w:rPr>
          <w:rFonts w:ascii="Calibri" w:hAnsi="Calibri" w:cstheme="minorHAnsi"/>
        </w:rPr>
        <w:t xml:space="preserve">)(ii) </w:t>
      </w:r>
      <w:r w:rsidR="00B16EF5" w:rsidRPr="0031445F">
        <w:rPr>
          <w:rFonts w:ascii="Calibri" w:hAnsi="Calibri" w:cstheme="minorHAnsi"/>
        </w:rPr>
        <w:t>and veteran-owned businesses.</w:t>
      </w:r>
    </w:p>
    <w:p w14:paraId="5723FD0A" w14:textId="77777777" w:rsidR="00B16EF5" w:rsidRPr="0031445F" w:rsidRDefault="00B16EF5" w:rsidP="00E37989">
      <w:pPr>
        <w:pStyle w:val="ListParagraph"/>
        <w:ind w:left="1080"/>
        <w:rPr>
          <w:rFonts w:ascii="Calibri" w:hAnsi="Calibri" w:cstheme="minorHAnsi"/>
        </w:rPr>
      </w:pPr>
    </w:p>
    <w:p w14:paraId="1AAF3C68" w14:textId="55E08325" w:rsidR="00B16EF5" w:rsidRPr="0031445F" w:rsidRDefault="00E3396C" w:rsidP="00E37989">
      <w:pPr>
        <w:pStyle w:val="ListParagraph"/>
        <w:numPr>
          <w:ilvl w:val="0"/>
          <w:numId w:val="25"/>
        </w:numPr>
        <w:spacing w:before="80" w:after="0" w:line="240" w:lineRule="auto"/>
        <w:rPr>
          <w:rFonts w:ascii="Calibri" w:hAnsi="Calibri" w:cstheme="minorHAnsi"/>
        </w:rPr>
      </w:pPr>
      <w:r w:rsidRPr="0031445F">
        <w:rPr>
          <w:rFonts w:ascii="Calibri" w:hAnsi="Calibri" w:cstheme="minorHAnsi"/>
        </w:rPr>
        <w:t>U</w:t>
      </w:r>
      <w:r w:rsidR="00B16EF5" w:rsidRPr="0031445F">
        <w:rPr>
          <w:rFonts w:ascii="Calibri" w:hAnsi="Calibri" w:cstheme="minorHAnsi"/>
        </w:rPr>
        <w:t>sing a subcontractor inclusion plan, where a vendor intends to use a subcontractor to fulfill the contract terms.</w:t>
      </w:r>
    </w:p>
    <w:p w14:paraId="4FAD181B" w14:textId="77777777" w:rsidR="00B16EF5" w:rsidRPr="0031445F" w:rsidRDefault="00B16EF5" w:rsidP="00E37989">
      <w:pPr>
        <w:pStyle w:val="ListParagraph"/>
        <w:ind w:left="1080"/>
        <w:rPr>
          <w:rFonts w:ascii="Calibri" w:hAnsi="Calibri" w:cstheme="minorHAnsi"/>
        </w:rPr>
      </w:pPr>
    </w:p>
    <w:p w14:paraId="303F098D" w14:textId="072CA275" w:rsidR="00B16EF5" w:rsidRPr="0031445F" w:rsidRDefault="004D0EF7" w:rsidP="00E37989">
      <w:pPr>
        <w:pStyle w:val="ListParagraph"/>
        <w:numPr>
          <w:ilvl w:val="0"/>
          <w:numId w:val="25"/>
        </w:numPr>
        <w:spacing w:before="80" w:after="0" w:line="240" w:lineRule="auto"/>
        <w:rPr>
          <w:rFonts w:ascii="Calibri" w:hAnsi="Calibri" w:cstheme="minorHAnsi"/>
        </w:rPr>
      </w:pPr>
      <w:r w:rsidRPr="0031445F">
        <w:rPr>
          <w:rFonts w:ascii="Calibri" w:hAnsi="Calibri" w:cstheme="minorHAnsi"/>
        </w:rPr>
        <w:t>Using</w:t>
      </w:r>
      <w:r w:rsidR="00C74C18" w:rsidRPr="0031445F">
        <w:rPr>
          <w:rFonts w:ascii="Calibri" w:hAnsi="Calibri" w:cstheme="minorHAnsi"/>
        </w:rPr>
        <w:t xml:space="preserve"> a</w:t>
      </w:r>
      <w:r w:rsidRPr="0031445F">
        <w:rPr>
          <w:rFonts w:ascii="Calibri" w:hAnsi="Calibri" w:cstheme="minorHAnsi"/>
        </w:rPr>
        <w:t xml:space="preserve"> </w:t>
      </w:r>
      <w:r w:rsidR="00C74C18" w:rsidRPr="0031445F">
        <w:rPr>
          <w:rFonts w:ascii="Calibri" w:hAnsi="Calibri" w:cstheme="minorHAnsi"/>
        </w:rPr>
        <w:t>small</w:t>
      </w:r>
      <w:r w:rsidR="00C15C2E">
        <w:rPr>
          <w:rFonts w:ascii="Calibri" w:hAnsi="Calibri" w:cstheme="minorHAnsi"/>
        </w:rPr>
        <w:t xml:space="preserve"> (that meets the size or gross revenue as defined in RCW 39.26.010(22</w:t>
      </w:r>
      <w:proofErr w:type="gramStart"/>
      <w:r w:rsidR="00C15C2E">
        <w:rPr>
          <w:rFonts w:ascii="Calibri" w:hAnsi="Calibri" w:cstheme="minorHAnsi"/>
        </w:rPr>
        <w:t>)(</w:t>
      </w:r>
      <w:proofErr w:type="gramEnd"/>
      <w:r w:rsidR="00C15C2E">
        <w:rPr>
          <w:rFonts w:ascii="Calibri" w:hAnsi="Calibri" w:cstheme="minorHAnsi"/>
        </w:rPr>
        <w:t>a)(</w:t>
      </w:r>
      <w:proofErr w:type="spellStart"/>
      <w:r w:rsidR="00C15C2E">
        <w:rPr>
          <w:rFonts w:ascii="Calibri" w:hAnsi="Calibri" w:cstheme="minorHAnsi"/>
        </w:rPr>
        <w:t>i</w:t>
      </w:r>
      <w:proofErr w:type="spellEnd"/>
      <w:r w:rsidR="00C15C2E">
        <w:rPr>
          <w:rFonts w:ascii="Calibri" w:hAnsi="Calibri" w:cstheme="minorHAnsi"/>
        </w:rPr>
        <w:t>)(ii)</w:t>
      </w:r>
      <w:r w:rsidR="00C74C18" w:rsidRPr="0031445F">
        <w:rPr>
          <w:rFonts w:ascii="Calibri" w:hAnsi="Calibri" w:cstheme="minorHAnsi"/>
        </w:rPr>
        <w:t>/veteran-owned business reserved award contract</w:t>
      </w:r>
      <w:r w:rsidR="00C51B2B" w:rsidRPr="0031445F">
        <w:rPr>
          <w:rFonts w:ascii="Calibri" w:hAnsi="Calibri" w:cstheme="minorHAnsi"/>
        </w:rPr>
        <w:t>.</w:t>
      </w:r>
    </w:p>
    <w:p w14:paraId="7D5E418F" w14:textId="77777777" w:rsidR="00C51B2B" w:rsidRPr="0031445F" w:rsidRDefault="00C51B2B" w:rsidP="00E37989">
      <w:pPr>
        <w:pStyle w:val="ListParagraph"/>
        <w:ind w:left="1080"/>
        <w:rPr>
          <w:rFonts w:ascii="Calibri" w:hAnsi="Calibri" w:cstheme="minorHAnsi"/>
        </w:rPr>
      </w:pPr>
    </w:p>
    <w:p w14:paraId="2405F4E6" w14:textId="6E5164D3" w:rsidR="00C51B2B" w:rsidRPr="0031445F" w:rsidRDefault="00E3396C" w:rsidP="00E37989">
      <w:pPr>
        <w:pStyle w:val="ListParagraph"/>
        <w:numPr>
          <w:ilvl w:val="0"/>
          <w:numId w:val="25"/>
        </w:numPr>
        <w:spacing w:before="80" w:after="0" w:line="240" w:lineRule="auto"/>
        <w:rPr>
          <w:rFonts w:ascii="Calibri" w:hAnsi="Calibri" w:cstheme="minorHAnsi"/>
        </w:rPr>
      </w:pPr>
      <w:r w:rsidRPr="0031445F">
        <w:rPr>
          <w:rFonts w:ascii="Calibri" w:hAnsi="Calibri" w:cstheme="minorHAnsi"/>
        </w:rPr>
        <w:t>A</w:t>
      </w:r>
      <w:r w:rsidR="00C51B2B" w:rsidRPr="0031445F">
        <w:rPr>
          <w:rFonts w:ascii="Calibri" w:hAnsi="Calibri" w:cstheme="minorHAnsi"/>
        </w:rPr>
        <w:t>warding evaluation po</w:t>
      </w:r>
      <w:r w:rsidR="00C51B2B" w:rsidRPr="0031445F">
        <w:rPr>
          <w:rFonts w:ascii="Calibri" w:eastAsia="Times New Roman" w:hAnsi="Calibri" w:cstheme="minorHAnsi"/>
        </w:rPr>
        <w:t xml:space="preserve">ints to Small Business Administration </w:t>
      </w:r>
      <w:proofErr w:type="spellStart"/>
      <w:r w:rsidR="00C51B2B" w:rsidRPr="0031445F">
        <w:rPr>
          <w:rFonts w:ascii="Calibri" w:eastAsia="Times New Roman" w:hAnsi="Calibri" w:cstheme="minorHAnsi"/>
        </w:rPr>
        <w:t>HUBZone</w:t>
      </w:r>
      <w:proofErr w:type="spellEnd"/>
      <w:r w:rsidR="00C51B2B" w:rsidRPr="0031445F">
        <w:rPr>
          <w:rFonts w:ascii="Calibri" w:eastAsia="Times New Roman" w:hAnsi="Calibri" w:cstheme="minorHAnsi"/>
        </w:rPr>
        <w:t xml:space="preserve"> certified businesses.</w:t>
      </w:r>
    </w:p>
    <w:p w14:paraId="21B0AFB8" w14:textId="77777777" w:rsidR="00666E9F" w:rsidRPr="004B2A43" w:rsidRDefault="00666E9F" w:rsidP="004B2A43">
      <w:pPr>
        <w:pStyle w:val="ListParagraph"/>
        <w:ind w:left="1080"/>
        <w:rPr>
          <w:rFonts w:ascii="Calibri" w:hAnsi="Calibri" w:cstheme="minorHAnsi"/>
        </w:rPr>
      </w:pPr>
    </w:p>
    <w:p w14:paraId="4395E72A" w14:textId="10BFCD42" w:rsidR="00666E9F" w:rsidRDefault="00666E9F" w:rsidP="00E37989">
      <w:pPr>
        <w:pStyle w:val="ListParagraph"/>
        <w:numPr>
          <w:ilvl w:val="0"/>
          <w:numId w:val="25"/>
        </w:numPr>
        <w:spacing w:before="80" w:after="0" w:line="240" w:lineRule="auto"/>
        <w:rPr>
          <w:rFonts w:ascii="Calibri" w:hAnsi="Calibri" w:cstheme="minorHAnsi"/>
        </w:rPr>
      </w:pPr>
      <w:r>
        <w:rPr>
          <w:rFonts w:ascii="Calibri" w:hAnsi="Calibri" w:cstheme="minorHAnsi"/>
        </w:rPr>
        <w:t>Other strategies</w:t>
      </w:r>
      <w:r w:rsidR="00C244C1">
        <w:rPr>
          <w:rFonts w:ascii="Calibri" w:hAnsi="Calibri" w:cstheme="minorHAnsi"/>
        </w:rPr>
        <w:t>, as</w:t>
      </w:r>
      <w:r>
        <w:rPr>
          <w:rFonts w:ascii="Calibri" w:hAnsi="Calibri" w:cstheme="minorHAnsi"/>
        </w:rPr>
        <w:t xml:space="preserve"> determined by </w:t>
      </w:r>
      <w:r w:rsidR="00C74C18">
        <w:rPr>
          <w:rFonts w:ascii="Calibri" w:hAnsi="Calibri" w:cstheme="minorHAnsi"/>
        </w:rPr>
        <w:t>each</w:t>
      </w:r>
      <w:r>
        <w:rPr>
          <w:rFonts w:ascii="Calibri" w:hAnsi="Calibri" w:cstheme="minorHAnsi"/>
        </w:rPr>
        <w:t xml:space="preserve"> agency</w:t>
      </w:r>
      <w:r w:rsidR="00C74C18">
        <w:rPr>
          <w:rFonts w:ascii="Calibri" w:hAnsi="Calibri" w:cstheme="minorHAnsi"/>
        </w:rPr>
        <w:t>.</w:t>
      </w:r>
    </w:p>
    <w:p w14:paraId="354D36A9" w14:textId="77777777" w:rsidR="00A24FAC" w:rsidRPr="00A24FAC" w:rsidRDefault="00A24FAC" w:rsidP="00A24FAC">
      <w:pPr>
        <w:pStyle w:val="ListParagraph"/>
        <w:rPr>
          <w:rFonts w:ascii="Calibri" w:hAnsi="Calibri" w:cstheme="minorHAnsi"/>
        </w:rPr>
      </w:pPr>
    </w:p>
    <w:p w14:paraId="1ED91C19" w14:textId="77777777" w:rsidR="00A24FAC" w:rsidRPr="00E37989" w:rsidRDefault="00A24FAC" w:rsidP="00A24FAC">
      <w:pPr>
        <w:pStyle w:val="ListParagraph"/>
        <w:numPr>
          <w:ilvl w:val="0"/>
          <w:numId w:val="32"/>
        </w:numPr>
        <w:spacing w:after="240" w:line="240" w:lineRule="auto"/>
        <w:ind w:left="720"/>
        <w:rPr>
          <w:rFonts w:ascii="Calibri" w:hAnsi="Calibri" w:cstheme="minorHAnsi"/>
        </w:rPr>
      </w:pPr>
      <w:r w:rsidRPr="0017080F">
        <w:rPr>
          <w:rFonts w:cstheme="minorHAnsi"/>
        </w:rPr>
        <w:t>Making procurements transparent wit</w:t>
      </w:r>
      <w:r>
        <w:rPr>
          <w:rFonts w:cstheme="minorHAnsi"/>
        </w:rPr>
        <w:t>h regard to supplier diversity, by publicly posting b</w:t>
      </w:r>
      <w:r w:rsidRPr="0017080F">
        <w:rPr>
          <w:rFonts w:ascii="Calibri" w:hAnsi="Calibri" w:cstheme="minorHAnsi"/>
        </w:rPr>
        <w:t>ids from the awarded contractor(s).</w:t>
      </w:r>
    </w:p>
    <w:p w14:paraId="124C3061" w14:textId="1FF4602E" w:rsidR="00C41663" w:rsidRPr="00E37989" w:rsidRDefault="00E87E52" w:rsidP="00E37989">
      <w:pPr>
        <w:spacing w:before="80" w:after="0" w:line="240" w:lineRule="auto"/>
        <w:ind w:left="360" w:hanging="360"/>
        <w:rPr>
          <w:rFonts w:cstheme="minorHAnsi"/>
          <w:b/>
          <w:lang w:bidi="en-US"/>
        </w:rPr>
      </w:pPr>
      <w:r>
        <w:rPr>
          <w:rFonts w:cstheme="minorHAnsi"/>
          <w:b/>
          <w:lang w:bidi="en-US"/>
        </w:rPr>
        <w:t>D</w:t>
      </w:r>
      <w:r w:rsidR="00E37989">
        <w:rPr>
          <w:rFonts w:cstheme="minorHAnsi"/>
          <w:b/>
          <w:lang w:bidi="en-US"/>
        </w:rPr>
        <w:t>.</w:t>
      </w:r>
      <w:r w:rsidR="00E37989">
        <w:rPr>
          <w:rFonts w:cstheme="minorHAnsi"/>
          <w:b/>
          <w:lang w:bidi="en-US"/>
        </w:rPr>
        <w:tab/>
      </w:r>
      <w:r w:rsidR="00C41663" w:rsidRPr="00E37989">
        <w:rPr>
          <w:rFonts w:cstheme="minorHAnsi"/>
          <w:b/>
          <w:lang w:bidi="en-US"/>
        </w:rPr>
        <w:t>Exception</w:t>
      </w:r>
      <w:r w:rsidR="007C3734" w:rsidRPr="00E37989">
        <w:rPr>
          <w:rFonts w:cstheme="minorHAnsi"/>
          <w:b/>
          <w:lang w:bidi="en-US"/>
        </w:rPr>
        <w:t>(s)</w:t>
      </w:r>
      <w:r w:rsidR="00E37989">
        <w:rPr>
          <w:rFonts w:cstheme="minorHAnsi"/>
          <w:b/>
          <w:lang w:bidi="en-US"/>
        </w:rPr>
        <w:t xml:space="preserve"> to this policy.</w:t>
      </w:r>
    </w:p>
    <w:p w14:paraId="2A26445A" w14:textId="6916DEDA" w:rsidR="007C3734" w:rsidRPr="00E37989" w:rsidRDefault="007C3734" w:rsidP="00E37989">
      <w:pPr>
        <w:pStyle w:val="ListParagraph"/>
        <w:numPr>
          <w:ilvl w:val="0"/>
          <w:numId w:val="34"/>
        </w:numPr>
        <w:spacing w:before="80" w:after="0" w:line="240" w:lineRule="auto"/>
        <w:rPr>
          <w:rFonts w:ascii="Calibri" w:hAnsi="Calibri" w:cstheme="minorHAnsi"/>
        </w:rPr>
      </w:pPr>
      <w:r w:rsidRPr="00E37989">
        <w:rPr>
          <w:rFonts w:ascii="Calibri" w:hAnsi="Calibri" w:cstheme="minorHAnsi"/>
        </w:rPr>
        <w:t>Emergency Purchases</w:t>
      </w:r>
      <w:r w:rsidR="00E37989">
        <w:rPr>
          <w:rFonts w:ascii="Calibri" w:hAnsi="Calibri" w:cstheme="minorHAnsi"/>
        </w:rPr>
        <w:t>, as defined in RCW 39.26.130 [LINK] and DES Policy #DES-130-00 [</w:t>
      </w:r>
      <w:r w:rsidR="00E37989" w:rsidRPr="00864781">
        <w:rPr>
          <w:rFonts w:ascii="Calibri" w:hAnsi="Calibri" w:cstheme="minorHAnsi"/>
          <w:highlight w:val="yellow"/>
        </w:rPr>
        <w:t>LINK]</w:t>
      </w:r>
      <w:r w:rsidR="00E37989">
        <w:rPr>
          <w:rFonts w:ascii="Calibri" w:hAnsi="Calibri" w:cstheme="minorHAnsi"/>
        </w:rPr>
        <w:t>.</w:t>
      </w:r>
    </w:p>
    <w:p w14:paraId="4825F4C9" w14:textId="77777777" w:rsidR="00C36FE4" w:rsidRPr="00C41663" w:rsidRDefault="00C36FE4" w:rsidP="00C41663">
      <w:pPr>
        <w:spacing w:before="80" w:after="0" w:line="240" w:lineRule="auto"/>
        <w:rPr>
          <w:rFonts w:ascii="Calibri" w:hAnsi="Calibri" w:cstheme="minorHAnsi"/>
        </w:rPr>
      </w:pPr>
    </w:p>
    <w:p w14:paraId="6B5942C0" w14:textId="23D6E9D1" w:rsidR="009E3637" w:rsidRDefault="009E3637" w:rsidP="007A23F7">
      <w:pPr>
        <w:pStyle w:val="NoSpacing"/>
        <w:spacing w:before="120"/>
        <w:contextualSpacing/>
        <w:rPr>
          <w:rFonts w:asciiTheme="minorHAnsi" w:hAnsiTheme="minorHAnsi" w:cstheme="minorHAnsi"/>
          <w:sz w:val="22"/>
          <w:szCs w:val="22"/>
        </w:rPr>
      </w:pPr>
    </w:p>
    <w:p w14:paraId="5A62B097" w14:textId="77777777" w:rsidR="00DC51EC" w:rsidRPr="00EA3D14" w:rsidRDefault="00DC45C4" w:rsidP="001526BD">
      <w:pPr>
        <w:pStyle w:val="Heading1"/>
        <w:spacing w:before="0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Procedure</w:t>
      </w:r>
    </w:p>
    <w:p w14:paraId="171D7FFA" w14:textId="0AE93116" w:rsidR="00DC51EC" w:rsidRPr="00EA3D14" w:rsidRDefault="00DC51EC" w:rsidP="001526BD">
      <w:pPr>
        <w:pStyle w:val="NoSpacing"/>
        <w:jc w:val="both"/>
        <w:rPr>
          <w:rFonts w:ascii="Calibri" w:hAnsi="Calibri" w:cstheme="minorHAnsi"/>
          <w:sz w:val="22"/>
          <w:szCs w:val="22"/>
          <w:highlight w:val="yellow"/>
        </w:rPr>
      </w:pPr>
      <w:r w:rsidRPr="00EA3D14">
        <w:rPr>
          <w:rFonts w:ascii="Calibri" w:hAnsi="Calibri" w:cstheme="minorHAnsi"/>
          <w:b/>
          <w:sz w:val="22"/>
          <w:szCs w:val="22"/>
        </w:rPr>
        <w:t>Procedure:</w:t>
      </w:r>
      <w:r w:rsidRPr="00EA3D14">
        <w:rPr>
          <w:rFonts w:ascii="Calibri" w:hAnsi="Calibri" w:cstheme="minorHAnsi"/>
          <w:sz w:val="22"/>
          <w:szCs w:val="22"/>
          <w:lang w:eastAsia="zh-TW"/>
        </w:rPr>
        <w:t xml:space="preserve"> Enterprise Services Procedure #PRO-DES-090-06</w:t>
      </w:r>
      <w:r w:rsidR="001526BD" w:rsidRPr="00EA3D14">
        <w:rPr>
          <w:rFonts w:ascii="Calibri" w:hAnsi="Calibri" w:cstheme="minorHAnsi"/>
          <w:sz w:val="22"/>
          <w:szCs w:val="22"/>
          <w:lang w:eastAsia="zh-TW"/>
        </w:rPr>
        <w:t xml:space="preserve"> </w:t>
      </w:r>
      <w:r w:rsidR="00864781" w:rsidRPr="00864781">
        <w:rPr>
          <w:rFonts w:ascii="Calibri" w:hAnsi="Calibri" w:cstheme="minorHAnsi"/>
          <w:sz w:val="22"/>
          <w:szCs w:val="22"/>
          <w:highlight w:val="yellow"/>
          <w:lang w:eastAsia="zh-TW"/>
        </w:rPr>
        <w:t>[LINK</w:t>
      </w:r>
      <w:r w:rsidR="00864781">
        <w:rPr>
          <w:rFonts w:ascii="Calibri" w:hAnsi="Calibri" w:cstheme="minorHAnsi"/>
          <w:sz w:val="22"/>
          <w:szCs w:val="22"/>
          <w:lang w:eastAsia="zh-TW"/>
        </w:rPr>
        <w:t>]</w:t>
      </w:r>
    </w:p>
    <w:p w14:paraId="61C35B9B" w14:textId="77777777" w:rsidR="00DC45C4" w:rsidRPr="00EA3D14" w:rsidRDefault="00DC45C4" w:rsidP="00DC45C4">
      <w:pPr>
        <w:pStyle w:val="Heading1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Guideline</w:t>
      </w:r>
    </w:p>
    <w:p w14:paraId="1E9E3595" w14:textId="77777777" w:rsidR="00DC45C4" w:rsidRPr="00EA3D14" w:rsidRDefault="00DC45C4" w:rsidP="00DC45C4">
      <w:pPr>
        <w:spacing w:after="0" w:line="240" w:lineRule="auto"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</w:rPr>
        <w:t>Guideline:</w:t>
      </w:r>
      <w:r w:rsidRPr="00EA3D14">
        <w:rPr>
          <w:rFonts w:ascii="Calibri" w:hAnsi="Calibri" w:cstheme="minorHAnsi"/>
          <w:lang w:eastAsia="zh-TW" w:bidi="en-US"/>
        </w:rPr>
        <w:t xml:space="preserve"> Enterprise Services #GDL-DES-090-06</w:t>
      </w:r>
      <w:r w:rsidR="001526BD" w:rsidRPr="00EA3D14">
        <w:rPr>
          <w:rFonts w:ascii="Calibri" w:hAnsi="Calibri" w:cstheme="minorHAnsi"/>
          <w:lang w:eastAsia="zh-TW" w:bidi="en-US"/>
        </w:rPr>
        <w:t xml:space="preserve"> </w:t>
      </w:r>
      <w:r w:rsidR="004811B7" w:rsidRPr="00EA3D14">
        <w:rPr>
          <w:rFonts w:ascii="Calibri" w:hAnsi="Calibri" w:cstheme="minorHAnsi"/>
          <w:highlight w:val="yellow"/>
          <w:lang w:eastAsia="zh-TW"/>
        </w:rPr>
        <w:t>[To be developed based on feedback received on policy]</w:t>
      </w:r>
    </w:p>
    <w:p w14:paraId="367A5AAA" w14:textId="77777777" w:rsidR="00DC45C4" w:rsidRPr="00EA3D14" w:rsidRDefault="00DC45C4" w:rsidP="00CF24A9">
      <w:pPr>
        <w:pStyle w:val="Heading1"/>
        <w:tabs>
          <w:tab w:val="left" w:pos="2913"/>
        </w:tabs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Frequently Asked Questions</w:t>
      </w:r>
      <w:r w:rsidR="00CF24A9" w:rsidRPr="00EA3D14">
        <w:rPr>
          <w:rFonts w:ascii="Calibri" w:hAnsi="Calibri" w:cstheme="minorHAnsi"/>
          <w:sz w:val="22"/>
          <w:szCs w:val="22"/>
        </w:rPr>
        <w:tab/>
      </w:r>
    </w:p>
    <w:p w14:paraId="6660AD39" w14:textId="2C63A1E7" w:rsidR="00CF24A9" w:rsidRPr="00EA3D14" w:rsidRDefault="00DC45C4" w:rsidP="008E09D0">
      <w:pPr>
        <w:spacing w:after="0" w:line="240" w:lineRule="auto"/>
        <w:rPr>
          <w:rFonts w:ascii="Calibri" w:hAnsi="Calibri" w:cstheme="minorHAnsi"/>
          <w:lang w:eastAsia="zh-TW" w:bidi="en-US"/>
        </w:rPr>
      </w:pPr>
      <w:r w:rsidRPr="00EA3D14">
        <w:rPr>
          <w:rFonts w:ascii="Calibri" w:hAnsi="Calibri" w:cstheme="minorHAnsi"/>
          <w:b/>
        </w:rPr>
        <w:t>FAQ:</w:t>
      </w:r>
      <w:r w:rsidRPr="00EA3D14">
        <w:rPr>
          <w:rFonts w:ascii="Calibri" w:hAnsi="Calibri" w:cstheme="minorHAnsi"/>
        </w:rPr>
        <w:t xml:space="preserve"> </w:t>
      </w:r>
      <w:r w:rsidR="001526BD" w:rsidRPr="00EA3D14">
        <w:rPr>
          <w:rFonts w:ascii="Calibri" w:hAnsi="Calibri" w:cstheme="minorHAnsi"/>
          <w:lang w:eastAsia="zh-TW" w:bidi="en-US"/>
        </w:rPr>
        <w:t>Enterprise Services FAQ</w:t>
      </w:r>
      <w:r w:rsidRPr="00EA3D14">
        <w:rPr>
          <w:rFonts w:ascii="Calibri" w:hAnsi="Calibri" w:cstheme="minorHAnsi"/>
          <w:lang w:eastAsia="zh-TW" w:bidi="en-US"/>
        </w:rPr>
        <w:t xml:space="preserve"> </w:t>
      </w:r>
      <w:r w:rsidR="00864781">
        <w:rPr>
          <w:rFonts w:ascii="Calibri" w:hAnsi="Calibri" w:cstheme="minorHAnsi"/>
          <w:lang w:eastAsia="zh-TW" w:bidi="en-US"/>
        </w:rPr>
        <w:t>[</w:t>
      </w:r>
      <w:r w:rsidR="00864781" w:rsidRPr="00864781">
        <w:rPr>
          <w:rFonts w:ascii="Calibri" w:hAnsi="Calibri" w:cstheme="minorHAnsi"/>
          <w:highlight w:val="yellow"/>
          <w:lang w:eastAsia="zh-TW" w:bidi="en-US"/>
        </w:rPr>
        <w:t>LINK</w:t>
      </w:r>
      <w:r w:rsidR="00864781">
        <w:rPr>
          <w:rFonts w:ascii="Calibri" w:hAnsi="Calibri" w:cstheme="minorHAnsi"/>
          <w:lang w:eastAsia="zh-TW" w:bidi="en-US"/>
        </w:rPr>
        <w:t>]</w:t>
      </w:r>
    </w:p>
    <w:p w14:paraId="25E23F7F" w14:textId="77777777" w:rsidR="004E43E1" w:rsidRPr="00EA3D14" w:rsidRDefault="004E43E1" w:rsidP="004E43E1">
      <w:pPr>
        <w:pStyle w:val="Heading1"/>
        <w:tabs>
          <w:tab w:val="left" w:pos="2913"/>
        </w:tabs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Glossary</w:t>
      </w:r>
    </w:p>
    <w:p w14:paraId="73AAB22A" w14:textId="2B19C1E1" w:rsidR="004E43E1" w:rsidRPr="00EA3D14" w:rsidRDefault="004E43E1" w:rsidP="004E43E1">
      <w:pPr>
        <w:spacing w:after="0" w:line="240" w:lineRule="auto"/>
        <w:rPr>
          <w:rFonts w:ascii="Calibri" w:hAnsi="Calibri" w:cstheme="minorHAnsi"/>
          <w:lang w:eastAsia="zh-TW"/>
        </w:rPr>
      </w:pPr>
      <w:r w:rsidRPr="00EA3D14">
        <w:rPr>
          <w:rFonts w:ascii="Calibri" w:hAnsi="Calibri" w:cstheme="minorHAnsi"/>
          <w:b/>
        </w:rPr>
        <w:t>Glossary:</w:t>
      </w:r>
      <w:r w:rsidRPr="00EA3D14">
        <w:rPr>
          <w:rFonts w:ascii="Calibri" w:hAnsi="Calibri" w:cstheme="minorHAnsi"/>
        </w:rPr>
        <w:t xml:space="preserve"> </w:t>
      </w:r>
      <w:r w:rsidRPr="00EA3D14">
        <w:rPr>
          <w:rFonts w:ascii="Calibri" w:hAnsi="Calibri" w:cstheme="minorHAnsi"/>
          <w:lang w:eastAsia="zh-TW" w:bidi="en-US"/>
        </w:rPr>
        <w:t xml:space="preserve">Enterprise Services Definitions and other supplemental information </w:t>
      </w:r>
      <w:r w:rsidR="00864781" w:rsidRPr="00864781">
        <w:rPr>
          <w:rFonts w:ascii="Calibri" w:hAnsi="Calibri" w:cstheme="minorHAnsi"/>
          <w:highlight w:val="yellow"/>
          <w:lang w:eastAsia="zh-TW" w:bidi="en-US"/>
        </w:rPr>
        <w:t>[LINK]</w:t>
      </w:r>
    </w:p>
    <w:p w14:paraId="7681FCF3" w14:textId="77777777" w:rsidR="001526BD" w:rsidRPr="00EA3D14" w:rsidRDefault="001526BD" w:rsidP="001526BD">
      <w:pPr>
        <w:pStyle w:val="Heading1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Appendices</w:t>
      </w:r>
      <w:r w:rsidR="00253D13" w:rsidRPr="00EA3D14">
        <w:rPr>
          <w:rFonts w:ascii="Calibri" w:hAnsi="Calibri" w:cstheme="minorHAnsi"/>
          <w:sz w:val="22"/>
          <w:szCs w:val="22"/>
        </w:rPr>
        <w:t>/Tools</w:t>
      </w:r>
    </w:p>
    <w:p w14:paraId="57A4A5BF" w14:textId="73E86DFC" w:rsidR="008E09D0" w:rsidRPr="00EA3D14" w:rsidRDefault="00892492" w:rsidP="001526BD">
      <w:pPr>
        <w:spacing w:after="0" w:line="240" w:lineRule="auto"/>
        <w:rPr>
          <w:rFonts w:ascii="Calibri" w:hAnsi="Calibri" w:cstheme="minorHAnsi"/>
          <w:lang w:eastAsia="zh-TW"/>
        </w:rPr>
      </w:pPr>
      <w:hyperlink r:id="rId32" w:history="1">
        <w:r w:rsidR="001526BD" w:rsidRPr="00EA3D14">
          <w:rPr>
            <w:rStyle w:val="Hyperlink"/>
            <w:rFonts w:ascii="Calibri" w:hAnsi="Calibri" w:cstheme="minorHAnsi"/>
          </w:rPr>
          <w:t>Sample Contract Language</w:t>
        </w:r>
      </w:hyperlink>
      <w:r w:rsidR="001526BD" w:rsidRPr="00EA3D14">
        <w:rPr>
          <w:rStyle w:val="Hyperlink"/>
          <w:rFonts w:ascii="Calibri" w:hAnsi="Calibri" w:cstheme="minorHAnsi"/>
        </w:rPr>
        <w:t xml:space="preserve"> </w:t>
      </w:r>
      <w:r w:rsidR="004811B7" w:rsidRPr="00EA3D14">
        <w:rPr>
          <w:rFonts w:ascii="Calibri" w:hAnsi="Calibri" w:cstheme="minorHAnsi"/>
          <w:highlight w:val="yellow"/>
          <w:lang w:eastAsia="zh-TW"/>
        </w:rPr>
        <w:t>[To be developed based on feedback received on policy]</w:t>
      </w:r>
    </w:p>
    <w:p w14:paraId="58A4A188" w14:textId="34B5828B" w:rsidR="00253D13" w:rsidRDefault="00253D13" w:rsidP="001526BD">
      <w:pPr>
        <w:spacing w:after="0" w:line="240" w:lineRule="auto"/>
        <w:rPr>
          <w:rFonts w:ascii="Calibri" w:eastAsia="Times New Roman" w:hAnsi="Calibri" w:cstheme="minorHAnsi"/>
        </w:rPr>
      </w:pPr>
      <w:r w:rsidRPr="00EA3D14">
        <w:rPr>
          <w:rFonts w:ascii="Calibri" w:eastAsia="Times New Roman" w:hAnsi="Calibri" w:cstheme="minorHAnsi"/>
          <w:highlight w:val="yellow"/>
        </w:rPr>
        <w:t>Tools for successfully implementing the requirements in this section are located [LINK].</w:t>
      </w:r>
    </w:p>
    <w:p w14:paraId="325DD169" w14:textId="4F8D7529" w:rsidR="00944BA8" w:rsidRDefault="00B45ABA" w:rsidP="001526BD">
      <w:pPr>
        <w:spacing w:after="0" w:line="240" w:lineRule="auto"/>
        <w:rPr>
          <w:rFonts w:ascii="Calibri" w:eastAsia="Times New Roman" w:hAnsi="Calibri" w:cstheme="minorHAnsi"/>
        </w:rPr>
      </w:pPr>
      <w:r>
        <w:rPr>
          <w:rFonts w:ascii="Calibri" w:eastAsia="Times New Roman" w:hAnsi="Calibri" w:cstheme="minorHAnsi"/>
        </w:rPr>
        <w:t>Debrief Guideline</w:t>
      </w:r>
      <w:r w:rsidR="00944BA8">
        <w:rPr>
          <w:rFonts w:ascii="Calibri" w:eastAsia="Times New Roman" w:hAnsi="Calibri" w:cstheme="minorHAnsi"/>
        </w:rPr>
        <w:t xml:space="preserve"> </w:t>
      </w:r>
      <w:hyperlink r:id="rId33" w:history="1">
        <w:r w:rsidR="00944BA8" w:rsidRPr="00B45ABA">
          <w:rPr>
            <w:rStyle w:val="Hyperlink"/>
            <w:rFonts w:ascii="Calibri" w:eastAsia="Times New Roman" w:hAnsi="Calibri" w:cstheme="minorHAnsi"/>
          </w:rPr>
          <w:t>#GDL-DES-170-00</w:t>
        </w:r>
      </w:hyperlink>
    </w:p>
    <w:p w14:paraId="793F882E" w14:textId="4BC6F568" w:rsidR="00944BA8" w:rsidRPr="00EA3D14" w:rsidRDefault="00944BA8" w:rsidP="001526BD">
      <w:pPr>
        <w:spacing w:after="0" w:line="240" w:lineRule="auto"/>
        <w:rPr>
          <w:rFonts w:ascii="Calibri" w:hAnsi="Calibri" w:cstheme="minorHAnsi"/>
          <w:lang w:eastAsia="zh-TW" w:bidi="en-US"/>
        </w:rPr>
      </w:pPr>
      <w:r>
        <w:rPr>
          <w:rFonts w:ascii="Calibri" w:eastAsia="Times New Roman" w:hAnsi="Calibri" w:cstheme="minorHAnsi"/>
        </w:rPr>
        <w:t xml:space="preserve">Bonds Policy </w:t>
      </w:r>
      <w:hyperlink r:id="rId34" w:history="1">
        <w:r w:rsidRPr="00944BA8">
          <w:rPr>
            <w:rStyle w:val="Hyperlink"/>
            <w:rFonts w:ascii="Calibri" w:eastAsia="Times New Roman" w:hAnsi="Calibri" w:cstheme="minorHAnsi"/>
          </w:rPr>
          <w:t>#DES-POL-190-00</w:t>
        </w:r>
      </w:hyperlink>
    </w:p>
    <w:p w14:paraId="3ED5D505" w14:textId="77777777" w:rsidR="002D4956" w:rsidRPr="00EA3D14" w:rsidRDefault="00AE7A2A" w:rsidP="003E2315">
      <w:pPr>
        <w:pStyle w:val="Heading1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H</w:t>
      </w:r>
      <w:r w:rsidR="002D4956" w:rsidRPr="00EA3D14">
        <w:rPr>
          <w:rFonts w:ascii="Calibri" w:hAnsi="Calibri" w:cstheme="minorHAnsi"/>
          <w:sz w:val="22"/>
          <w:szCs w:val="22"/>
        </w:rPr>
        <w:t>istory</w:t>
      </w:r>
    </w:p>
    <w:p w14:paraId="2C59E8E6" w14:textId="77777777" w:rsidR="00A44C37" w:rsidRPr="00EA3D14" w:rsidRDefault="00A44C37" w:rsidP="003E2315">
      <w:pPr>
        <w:pStyle w:val="Heading2"/>
        <w:ind w:left="360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Adopted</w:t>
      </w:r>
    </w:p>
    <w:p w14:paraId="10488F5B" w14:textId="77777777" w:rsidR="00A44C37" w:rsidRPr="00EA3D14" w:rsidRDefault="00EE3BA9" w:rsidP="003E2315">
      <w:pPr>
        <w:spacing w:line="240" w:lineRule="auto"/>
        <w:ind w:firstLine="360"/>
        <w:rPr>
          <w:rFonts w:ascii="Calibri" w:hAnsi="Calibri" w:cstheme="minorHAnsi"/>
          <w:lang w:bidi="en-US"/>
        </w:rPr>
      </w:pPr>
      <w:r w:rsidRPr="00EA3D14">
        <w:rPr>
          <w:rFonts w:ascii="Calibri" w:hAnsi="Calibri" w:cstheme="minorHAnsi"/>
          <w:lang w:bidi="en-US"/>
        </w:rPr>
        <w:t>____________</w:t>
      </w:r>
    </w:p>
    <w:p w14:paraId="4AB05AB1" w14:textId="77777777" w:rsidR="002D4956" w:rsidRPr="00EA3D14" w:rsidRDefault="00AE7A2A" w:rsidP="003E2315">
      <w:pPr>
        <w:pStyle w:val="Heading2"/>
        <w:ind w:left="360"/>
        <w:rPr>
          <w:rFonts w:ascii="Calibri" w:hAnsi="Calibri" w:cstheme="minorHAnsi"/>
          <w:sz w:val="22"/>
          <w:szCs w:val="22"/>
        </w:rPr>
      </w:pPr>
      <w:r w:rsidRPr="00EA3D14">
        <w:rPr>
          <w:rFonts w:ascii="Calibri" w:hAnsi="Calibri" w:cstheme="minorHAnsi"/>
          <w:sz w:val="22"/>
          <w:szCs w:val="22"/>
        </w:rPr>
        <w:t>Replaces</w:t>
      </w:r>
    </w:p>
    <w:p w14:paraId="6A9420D3" w14:textId="77777777" w:rsidR="002D4956" w:rsidRPr="00EA3D14" w:rsidRDefault="00EE3BA9" w:rsidP="002D4956">
      <w:pPr>
        <w:spacing w:line="240" w:lineRule="auto"/>
        <w:ind w:left="360"/>
        <w:rPr>
          <w:rFonts w:ascii="Calibri" w:hAnsi="Calibri" w:cstheme="minorHAnsi"/>
        </w:rPr>
      </w:pPr>
      <w:r w:rsidRPr="00EA3D14">
        <w:rPr>
          <w:rFonts w:ascii="Calibri" w:hAnsi="Calibri" w:cstheme="minorHAnsi"/>
        </w:rPr>
        <w:t>N/A</w:t>
      </w:r>
    </w:p>
    <w:p w14:paraId="4FBC2767" w14:textId="77777777" w:rsidR="001021E7" w:rsidRPr="00FD2475" w:rsidRDefault="001021E7" w:rsidP="002D4956">
      <w:pPr>
        <w:spacing w:line="240" w:lineRule="auto"/>
        <w:ind w:left="360"/>
        <w:rPr>
          <w:rFonts w:cstheme="minorHAnsi"/>
          <w:b/>
        </w:rPr>
      </w:pPr>
    </w:p>
    <w:sectPr w:rsidR="001021E7" w:rsidRPr="00FD2475" w:rsidSect="00295C76">
      <w:headerReference w:type="default" r:id="rId35"/>
      <w:footerReference w:type="default" r:id="rId36"/>
      <w:headerReference w:type="first" r:id="rId37"/>
      <w:footerReference w:type="first" r:id="rId3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arnock, Christine (DES)" w:date="2021-06-10T17:04:00Z" w:initials="WC(">
    <w:p w14:paraId="7F8FA075" w14:textId="6E4E8284" w:rsidR="00E520DE" w:rsidRDefault="00E520DE">
      <w:pPr>
        <w:pStyle w:val="CommentText"/>
      </w:pPr>
      <w:r>
        <w:rPr>
          <w:rStyle w:val="CommentReference"/>
        </w:rPr>
        <w:annotationRef/>
      </w:r>
      <w:r>
        <w:t>DES is asking our stakeholders about the strengths and weaknesses of each option, which will inform which approach will be used in the policy.</w:t>
      </w:r>
    </w:p>
  </w:comment>
  <w:comment w:id="2" w:author="Warnock, Christine (DES)" w:date="2021-06-10T17:06:00Z" w:initials="WC(">
    <w:p w14:paraId="70BE00C8" w14:textId="7549B71E" w:rsidR="00E520DE" w:rsidRDefault="00E520DE">
      <w:pPr>
        <w:pStyle w:val="CommentText"/>
      </w:pPr>
      <w:r>
        <w:rPr>
          <w:rStyle w:val="CommentReference"/>
        </w:rPr>
        <w:annotationRef/>
      </w:r>
      <w:r>
        <w:t xml:space="preserve">DES is seeking feedback from stakeholders regarding the use of </w:t>
      </w:r>
      <w:proofErr w:type="spellStart"/>
      <w:r>
        <w:t>prebid</w:t>
      </w:r>
      <w:proofErr w:type="spellEnd"/>
      <w:r>
        <w:t xml:space="preserve"> conferences reserved for complex or large solicitations or for all competitive solicitations.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8FA075" w15:done="0"/>
  <w15:commentEx w15:paraId="70BE00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2F60" w14:textId="77777777" w:rsidR="00892492" w:rsidRDefault="00892492" w:rsidP="005A2388">
      <w:pPr>
        <w:spacing w:after="0" w:line="240" w:lineRule="auto"/>
      </w:pPr>
      <w:r>
        <w:separator/>
      </w:r>
    </w:p>
  </w:endnote>
  <w:endnote w:type="continuationSeparator" w:id="0">
    <w:p w14:paraId="7BD66446" w14:textId="77777777" w:rsidR="00892492" w:rsidRDefault="00892492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5125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378A3B" w14:textId="46B1307A" w:rsidR="00DB4EF5" w:rsidRDefault="00DB4E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ED6DF" w14:textId="77777777" w:rsidR="00DB4EF5" w:rsidRDefault="00DB4E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05773"/>
      <w:docPartObj>
        <w:docPartGallery w:val="Page Numbers (Bottom of Page)"/>
        <w:docPartUnique/>
      </w:docPartObj>
    </w:sdtPr>
    <w:sdtEndPr/>
    <w:sdtContent>
      <w:sdt>
        <w:sdtPr>
          <w:id w:val="602917502"/>
          <w:docPartObj>
            <w:docPartGallery w:val="Page Numbers (Top of Page)"/>
            <w:docPartUnique/>
          </w:docPartObj>
        </w:sdtPr>
        <w:sdtEndPr/>
        <w:sdtContent>
          <w:p w14:paraId="360B366E" w14:textId="6CA4C522" w:rsidR="00DB4EF5" w:rsidRDefault="00DB4E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BD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33EA35" w14:textId="77777777" w:rsidR="00DB4EF5" w:rsidRDefault="00DB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307A" w14:textId="77777777" w:rsidR="00892492" w:rsidRDefault="00892492" w:rsidP="005A2388">
      <w:pPr>
        <w:spacing w:after="0" w:line="240" w:lineRule="auto"/>
      </w:pPr>
      <w:r>
        <w:separator/>
      </w:r>
    </w:p>
  </w:footnote>
  <w:footnote w:type="continuationSeparator" w:id="0">
    <w:p w14:paraId="1C89345B" w14:textId="77777777" w:rsidR="00892492" w:rsidRDefault="00892492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8774"/>
      <w:docPartObj>
        <w:docPartGallery w:val="Watermarks"/>
        <w:docPartUnique/>
      </w:docPartObj>
    </w:sdtPr>
    <w:sdtEndPr/>
    <w:sdtContent>
      <w:p w14:paraId="0588D0C6" w14:textId="77777777" w:rsidR="00DB4EF5" w:rsidRDefault="00892492">
        <w:pPr>
          <w:pStyle w:val="Header"/>
        </w:pPr>
        <w:r>
          <w:rPr>
            <w:noProof/>
          </w:rPr>
          <w:pict w14:anchorId="58780C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F797" w14:textId="77777777" w:rsidR="00DB4EF5" w:rsidRDefault="00DB4EF5">
    <w:pPr>
      <w:pStyle w:val="Header"/>
    </w:pPr>
    <w:r w:rsidRPr="00D0246A">
      <w:rPr>
        <w:rFonts w:cstheme="minorHAnsi"/>
        <w:noProof/>
      </w:rPr>
      <w:drawing>
        <wp:inline distT="0" distB="0" distL="0" distR="0" wp14:anchorId="108A24D5" wp14:editId="45ABEE62">
          <wp:extent cx="2162695" cy="365760"/>
          <wp:effectExtent l="0" t="0" r="9525" b="0"/>
          <wp:docPr id="1" name="Picture 2" descr="Department of Enterprise Services orange blue logo" title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C1"/>
    <w:multiLevelType w:val="hybridMultilevel"/>
    <w:tmpl w:val="F04AD1B4"/>
    <w:lvl w:ilvl="0" w:tplc="89AC0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69F"/>
    <w:multiLevelType w:val="hybridMultilevel"/>
    <w:tmpl w:val="EC90E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FC063F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9A2"/>
    <w:multiLevelType w:val="hybridMultilevel"/>
    <w:tmpl w:val="0F6E2FA6"/>
    <w:lvl w:ilvl="0" w:tplc="863870D4">
      <w:start w:val="7"/>
      <w:numFmt w:val="low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5D"/>
    <w:multiLevelType w:val="hybridMultilevel"/>
    <w:tmpl w:val="0882B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6FC50A2">
      <w:start w:val="1"/>
      <w:numFmt w:val="lowerRoman"/>
      <w:lvlText w:val="%2."/>
      <w:lvlJc w:val="righ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C7C7A"/>
    <w:multiLevelType w:val="hybridMultilevel"/>
    <w:tmpl w:val="461CECAA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F239C"/>
    <w:multiLevelType w:val="hybridMultilevel"/>
    <w:tmpl w:val="C532947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354AC"/>
    <w:multiLevelType w:val="hybridMultilevel"/>
    <w:tmpl w:val="380C9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6D22482">
      <w:start w:val="7"/>
      <w:numFmt w:val="lowerRoman"/>
      <w:lvlText w:val="%2."/>
      <w:lvlJc w:val="right"/>
      <w:pPr>
        <w:ind w:left="1080" w:hanging="360"/>
      </w:pPr>
      <w:rPr>
        <w:rFonts w:hint="default"/>
        <w:b/>
      </w:r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924A9CA8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D3EE0"/>
    <w:multiLevelType w:val="hybridMultilevel"/>
    <w:tmpl w:val="416C55AC"/>
    <w:lvl w:ilvl="0" w:tplc="FF46E94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theme="minorHAnsi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005C"/>
    <w:multiLevelType w:val="hybridMultilevel"/>
    <w:tmpl w:val="A0E4D7F6"/>
    <w:lvl w:ilvl="0" w:tplc="FD2E9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40A5"/>
    <w:multiLevelType w:val="hybridMultilevel"/>
    <w:tmpl w:val="951259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D1ED1"/>
    <w:multiLevelType w:val="hybridMultilevel"/>
    <w:tmpl w:val="C1EC0066"/>
    <w:lvl w:ilvl="0" w:tplc="94C4C020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31CB2"/>
    <w:multiLevelType w:val="hybridMultilevel"/>
    <w:tmpl w:val="2C8C77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5C59D2"/>
    <w:multiLevelType w:val="hybridMultilevel"/>
    <w:tmpl w:val="3CE0C390"/>
    <w:lvl w:ilvl="0" w:tplc="0054D46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0697"/>
    <w:multiLevelType w:val="hybridMultilevel"/>
    <w:tmpl w:val="B0A096C6"/>
    <w:lvl w:ilvl="0" w:tplc="A606A68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F3A0B"/>
    <w:multiLevelType w:val="hybridMultilevel"/>
    <w:tmpl w:val="69A68C48"/>
    <w:lvl w:ilvl="0" w:tplc="191E05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71214"/>
    <w:multiLevelType w:val="hybridMultilevel"/>
    <w:tmpl w:val="75E07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93202"/>
    <w:multiLevelType w:val="hybridMultilevel"/>
    <w:tmpl w:val="7A9C2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36F"/>
    <w:multiLevelType w:val="hybridMultilevel"/>
    <w:tmpl w:val="5BFAE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180"/>
      </w:pPr>
    </w:lvl>
    <w:lvl w:ilvl="3" w:tplc="924A9CA8">
      <w:start w:val="1"/>
      <w:numFmt w:val="lowerLetter"/>
      <w:lvlText w:val="%4."/>
      <w:lvlJc w:val="left"/>
      <w:pPr>
        <w:ind w:left="2520" w:hanging="360"/>
      </w:pPr>
      <w:rPr>
        <w:rFonts w:hint="default"/>
        <w:b w:val="0"/>
        <w:u w:val="single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A462FD"/>
    <w:multiLevelType w:val="hybridMultilevel"/>
    <w:tmpl w:val="ADE0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70EC2"/>
    <w:multiLevelType w:val="hybridMultilevel"/>
    <w:tmpl w:val="B4A6C692"/>
    <w:lvl w:ilvl="0" w:tplc="191E05A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8738BB"/>
    <w:multiLevelType w:val="hybridMultilevel"/>
    <w:tmpl w:val="72F48F28"/>
    <w:lvl w:ilvl="0" w:tplc="737E48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2630EF"/>
    <w:multiLevelType w:val="hybridMultilevel"/>
    <w:tmpl w:val="E53253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5D809A4"/>
    <w:multiLevelType w:val="hybridMultilevel"/>
    <w:tmpl w:val="9E3E3A82"/>
    <w:lvl w:ilvl="0" w:tplc="CAFCD6B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theme="minorHAnsi"/>
        <w:b w:val="0"/>
      </w:rPr>
    </w:lvl>
    <w:lvl w:ilvl="1" w:tplc="DB6EAF10">
      <w:start w:val="1"/>
      <w:numFmt w:val="lowerRoman"/>
      <w:lvlText w:val="%2)"/>
      <w:lvlJc w:val="left"/>
      <w:pPr>
        <w:ind w:left="1800" w:hanging="360"/>
      </w:pPr>
      <w:rPr>
        <w:rFonts w:ascii="Calibri" w:eastAsia="Times New Roman" w:hAnsi="Calibri" w:cstheme="minorHAnsi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A45FD2"/>
    <w:multiLevelType w:val="hybridMultilevel"/>
    <w:tmpl w:val="308860C6"/>
    <w:lvl w:ilvl="0" w:tplc="F9D4D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436C7"/>
    <w:multiLevelType w:val="hybridMultilevel"/>
    <w:tmpl w:val="7DD6DD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B1AA4F0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756343"/>
    <w:multiLevelType w:val="hybridMultilevel"/>
    <w:tmpl w:val="72F46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7598"/>
    <w:multiLevelType w:val="hybridMultilevel"/>
    <w:tmpl w:val="ADBE0178"/>
    <w:lvl w:ilvl="0" w:tplc="CAFCD6B6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theme="minorHAnsi"/>
        <w:b w:val="0"/>
      </w:rPr>
    </w:lvl>
    <w:lvl w:ilvl="1" w:tplc="9C96D0E4">
      <w:start w:val="1"/>
      <w:numFmt w:val="lowerRoman"/>
      <w:lvlText w:val="%2."/>
      <w:lvlJc w:val="right"/>
      <w:pPr>
        <w:ind w:left="180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7F26A3"/>
    <w:multiLevelType w:val="hybridMultilevel"/>
    <w:tmpl w:val="E36E7BE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8A66D93"/>
    <w:multiLevelType w:val="hybridMultilevel"/>
    <w:tmpl w:val="83EC8A58"/>
    <w:lvl w:ilvl="0" w:tplc="435A3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</w:rPr>
    </w:lvl>
    <w:lvl w:ilvl="2" w:tplc="0B260E38">
      <w:start w:val="2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41E07"/>
    <w:multiLevelType w:val="hybridMultilevel"/>
    <w:tmpl w:val="1C58D1DC"/>
    <w:lvl w:ilvl="0" w:tplc="191E05A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BD4266"/>
    <w:multiLevelType w:val="hybridMultilevel"/>
    <w:tmpl w:val="C3F2B150"/>
    <w:lvl w:ilvl="0" w:tplc="DA7EBA1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90E76"/>
    <w:multiLevelType w:val="hybridMultilevel"/>
    <w:tmpl w:val="D14CD39C"/>
    <w:lvl w:ilvl="0" w:tplc="2E10A81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40180"/>
    <w:multiLevelType w:val="hybridMultilevel"/>
    <w:tmpl w:val="65E8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16BB5"/>
    <w:multiLevelType w:val="hybridMultilevel"/>
    <w:tmpl w:val="DDB60E5A"/>
    <w:lvl w:ilvl="0" w:tplc="D79404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22"/>
  </w:num>
  <w:num w:numId="5">
    <w:abstractNumId w:val="32"/>
  </w:num>
  <w:num w:numId="6">
    <w:abstractNumId w:val="28"/>
  </w:num>
  <w:num w:numId="7">
    <w:abstractNumId w:val="7"/>
  </w:num>
  <w:num w:numId="8">
    <w:abstractNumId w:val="25"/>
  </w:num>
  <w:num w:numId="9">
    <w:abstractNumId w:val="8"/>
  </w:num>
  <w:num w:numId="10">
    <w:abstractNumId w:val="18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24"/>
  </w:num>
  <w:num w:numId="16">
    <w:abstractNumId w:val="30"/>
  </w:num>
  <w:num w:numId="17">
    <w:abstractNumId w:val="17"/>
  </w:num>
  <w:num w:numId="18">
    <w:abstractNumId w:val="3"/>
  </w:num>
  <w:num w:numId="19">
    <w:abstractNumId w:val="26"/>
  </w:num>
  <w:num w:numId="20">
    <w:abstractNumId w:val="27"/>
  </w:num>
  <w:num w:numId="21">
    <w:abstractNumId w:val="21"/>
  </w:num>
  <w:num w:numId="22">
    <w:abstractNumId w:val="2"/>
  </w:num>
  <w:num w:numId="23">
    <w:abstractNumId w:val="15"/>
  </w:num>
  <w:num w:numId="24">
    <w:abstractNumId w:val="12"/>
  </w:num>
  <w:num w:numId="25">
    <w:abstractNumId w:val="14"/>
  </w:num>
  <w:num w:numId="26">
    <w:abstractNumId w:val="10"/>
  </w:num>
  <w:num w:numId="27">
    <w:abstractNumId w:val="31"/>
  </w:num>
  <w:num w:numId="28">
    <w:abstractNumId w:val="20"/>
  </w:num>
  <w:num w:numId="29">
    <w:abstractNumId w:val="29"/>
  </w:num>
  <w:num w:numId="30">
    <w:abstractNumId w:val="13"/>
  </w:num>
  <w:num w:numId="31">
    <w:abstractNumId w:val="4"/>
  </w:num>
  <w:num w:numId="32">
    <w:abstractNumId w:val="5"/>
  </w:num>
  <w:num w:numId="33">
    <w:abstractNumId w:val="19"/>
  </w:num>
  <w:num w:numId="34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054DB"/>
    <w:rsid w:val="00006F03"/>
    <w:rsid w:val="00011552"/>
    <w:rsid w:val="000116F2"/>
    <w:rsid w:val="00013892"/>
    <w:rsid w:val="0003471B"/>
    <w:rsid w:val="00044773"/>
    <w:rsid w:val="00046278"/>
    <w:rsid w:val="000524CE"/>
    <w:rsid w:val="0005747A"/>
    <w:rsid w:val="0006204B"/>
    <w:rsid w:val="00063911"/>
    <w:rsid w:val="0006627A"/>
    <w:rsid w:val="00066B08"/>
    <w:rsid w:val="000757B8"/>
    <w:rsid w:val="00077144"/>
    <w:rsid w:val="0007785F"/>
    <w:rsid w:val="00080714"/>
    <w:rsid w:val="00086AE0"/>
    <w:rsid w:val="00090844"/>
    <w:rsid w:val="0009586F"/>
    <w:rsid w:val="00095EF9"/>
    <w:rsid w:val="000975BD"/>
    <w:rsid w:val="00097CF0"/>
    <w:rsid w:val="000A00BA"/>
    <w:rsid w:val="000A0995"/>
    <w:rsid w:val="000A343B"/>
    <w:rsid w:val="000A48A8"/>
    <w:rsid w:val="000B2BEF"/>
    <w:rsid w:val="000B6509"/>
    <w:rsid w:val="000C30D9"/>
    <w:rsid w:val="000C5DDC"/>
    <w:rsid w:val="000C764F"/>
    <w:rsid w:val="000C7F52"/>
    <w:rsid w:val="000D0169"/>
    <w:rsid w:val="000D0FC2"/>
    <w:rsid w:val="000D424E"/>
    <w:rsid w:val="000D441D"/>
    <w:rsid w:val="000E1F27"/>
    <w:rsid w:val="000E3296"/>
    <w:rsid w:val="000E4738"/>
    <w:rsid w:val="000E64D2"/>
    <w:rsid w:val="000F275D"/>
    <w:rsid w:val="000F4961"/>
    <w:rsid w:val="000F6CA7"/>
    <w:rsid w:val="000F6EF1"/>
    <w:rsid w:val="001021E7"/>
    <w:rsid w:val="001115B0"/>
    <w:rsid w:val="001145DA"/>
    <w:rsid w:val="001200DC"/>
    <w:rsid w:val="001233F9"/>
    <w:rsid w:val="00125716"/>
    <w:rsid w:val="0012630C"/>
    <w:rsid w:val="001278A6"/>
    <w:rsid w:val="00131383"/>
    <w:rsid w:val="00131C98"/>
    <w:rsid w:val="00135B58"/>
    <w:rsid w:val="00136583"/>
    <w:rsid w:val="00136662"/>
    <w:rsid w:val="00151DDD"/>
    <w:rsid w:val="001526BD"/>
    <w:rsid w:val="00154FF5"/>
    <w:rsid w:val="001562B7"/>
    <w:rsid w:val="00157A23"/>
    <w:rsid w:val="00161F7B"/>
    <w:rsid w:val="001654D0"/>
    <w:rsid w:val="0017080F"/>
    <w:rsid w:val="00170950"/>
    <w:rsid w:val="00183350"/>
    <w:rsid w:val="00183EB5"/>
    <w:rsid w:val="0019011C"/>
    <w:rsid w:val="00192040"/>
    <w:rsid w:val="00192C8A"/>
    <w:rsid w:val="00196E50"/>
    <w:rsid w:val="001A1793"/>
    <w:rsid w:val="001A59CD"/>
    <w:rsid w:val="001B0FF4"/>
    <w:rsid w:val="001B1AFD"/>
    <w:rsid w:val="001B495A"/>
    <w:rsid w:val="001B741C"/>
    <w:rsid w:val="001C04B4"/>
    <w:rsid w:val="001D1596"/>
    <w:rsid w:val="001D24E8"/>
    <w:rsid w:val="001E1CAF"/>
    <w:rsid w:val="001E644F"/>
    <w:rsid w:val="001E74E2"/>
    <w:rsid w:val="001F5589"/>
    <w:rsid w:val="001F59C7"/>
    <w:rsid w:val="002017E4"/>
    <w:rsid w:val="00202A2A"/>
    <w:rsid w:val="002040BD"/>
    <w:rsid w:val="0020735F"/>
    <w:rsid w:val="00211613"/>
    <w:rsid w:val="00221DDC"/>
    <w:rsid w:val="00223D5A"/>
    <w:rsid w:val="00224705"/>
    <w:rsid w:val="00226D2C"/>
    <w:rsid w:val="0023013C"/>
    <w:rsid w:val="00232038"/>
    <w:rsid w:val="00235697"/>
    <w:rsid w:val="0023798E"/>
    <w:rsid w:val="00241EDE"/>
    <w:rsid w:val="00250EF0"/>
    <w:rsid w:val="00252736"/>
    <w:rsid w:val="00253D13"/>
    <w:rsid w:val="002605DF"/>
    <w:rsid w:val="00263422"/>
    <w:rsid w:val="00263EB2"/>
    <w:rsid w:val="0026411E"/>
    <w:rsid w:val="00264F16"/>
    <w:rsid w:val="00272381"/>
    <w:rsid w:val="00280542"/>
    <w:rsid w:val="00283030"/>
    <w:rsid w:val="00285F8B"/>
    <w:rsid w:val="00295C76"/>
    <w:rsid w:val="002A1167"/>
    <w:rsid w:val="002A6B29"/>
    <w:rsid w:val="002B0F44"/>
    <w:rsid w:val="002B1A94"/>
    <w:rsid w:val="002B393F"/>
    <w:rsid w:val="002C4FA0"/>
    <w:rsid w:val="002D4956"/>
    <w:rsid w:val="002D65B2"/>
    <w:rsid w:val="002D7E63"/>
    <w:rsid w:val="002E5C3A"/>
    <w:rsid w:val="002E618A"/>
    <w:rsid w:val="002F08CF"/>
    <w:rsid w:val="002F3837"/>
    <w:rsid w:val="00311B8A"/>
    <w:rsid w:val="00313629"/>
    <w:rsid w:val="003141E0"/>
    <w:rsid w:val="0031445F"/>
    <w:rsid w:val="00317D49"/>
    <w:rsid w:val="0032104A"/>
    <w:rsid w:val="00325820"/>
    <w:rsid w:val="00331349"/>
    <w:rsid w:val="0033641D"/>
    <w:rsid w:val="00340303"/>
    <w:rsid w:val="00341EE2"/>
    <w:rsid w:val="00343FC1"/>
    <w:rsid w:val="00344365"/>
    <w:rsid w:val="00351021"/>
    <w:rsid w:val="003511DD"/>
    <w:rsid w:val="00353099"/>
    <w:rsid w:val="00353BCB"/>
    <w:rsid w:val="00354D4B"/>
    <w:rsid w:val="00355D97"/>
    <w:rsid w:val="00364B62"/>
    <w:rsid w:val="00371955"/>
    <w:rsid w:val="00371DC3"/>
    <w:rsid w:val="00380012"/>
    <w:rsid w:val="00387DBC"/>
    <w:rsid w:val="00392B21"/>
    <w:rsid w:val="00392E37"/>
    <w:rsid w:val="003A1538"/>
    <w:rsid w:val="003A154C"/>
    <w:rsid w:val="003A6119"/>
    <w:rsid w:val="003B4E6D"/>
    <w:rsid w:val="003B66DE"/>
    <w:rsid w:val="003D50A0"/>
    <w:rsid w:val="003D78D0"/>
    <w:rsid w:val="003D7B97"/>
    <w:rsid w:val="003E2315"/>
    <w:rsid w:val="003E7B63"/>
    <w:rsid w:val="003E7D68"/>
    <w:rsid w:val="003F1FDB"/>
    <w:rsid w:val="003F3F2E"/>
    <w:rsid w:val="004006B1"/>
    <w:rsid w:val="00400FA5"/>
    <w:rsid w:val="00403194"/>
    <w:rsid w:val="00411745"/>
    <w:rsid w:val="00411A06"/>
    <w:rsid w:val="004139ED"/>
    <w:rsid w:val="00416388"/>
    <w:rsid w:val="0043191B"/>
    <w:rsid w:val="00432581"/>
    <w:rsid w:val="00433536"/>
    <w:rsid w:val="00437057"/>
    <w:rsid w:val="00440109"/>
    <w:rsid w:val="00441632"/>
    <w:rsid w:val="00441E4D"/>
    <w:rsid w:val="0044203C"/>
    <w:rsid w:val="00443225"/>
    <w:rsid w:val="00445057"/>
    <w:rsid w:val="004472B0"/>
    <w:rsid w:val="00453F6D"/>
    <w:rsid w:val="00466CB3"/>
    <w:rsid w:val="00471F4B"/>
    <w:rsid w:val="00472369"/>
    <w:rsid w:val="00473127"/>
    <w:rsid w:val="00473833"/>
    <w:rsid w:val="00475AAF"/>
    <w:rsid w:val="004811B7"/>
    <w:rsid w:val="00485BEB"/>
    <w:rsid w:val="00495335"/>
    <w:rsid w:val="00495AF9"/>
    <w:rsid w:val="00496AC4"/>
    <w:rsid w:val="004B2A43"/>
    <w:rsid w:val="004B2DC6"/>
    <w:rsid w:val="004B6C20"/>
    <w:rsid w:val="004C2D6E"/>
    <w:rsid w:val="004C4625"/>
    <w:rsid w:val="004D0CFF"/>
    <w:rsid w:val="004D0EF7"/>
    <w:rsid w:val="004E43E1"/>
    <w:rsid w:val="004E4A87"/>
    <w:rsid w:val="004F6BD2"/>
    <w:rsid w:val="00503677"/>
    <w:rsid w:val="00513AB6"/>
    <w:rsid w:val="00520070"/>
    <w:rsid w:val="005231E9"/>
    <w:rsid w:val="00523303"/>
    <w:rsid w:val="005233B3"/>
    <w:rsid w:val="00523A05"/>
    <w:rsid w:val="005260DC"/>
    <w:rsid w:val="005271D5"/>
    <w:rsid w:val="005368B1"/>
    <w:rsid w:val="0054114D"/>
    <w:rsid w:val="00541C5F"/>
    <w:rsid w:val="005515FA"/>
    <w:rsid w:val="005519A7"/>
    <w:rsid w:val="005572E7"/>
    <w:rsid w:val="00560ED8"/>
    <w:rsid w:val="00562663"/>
    <w:rsid w:val="00563C76"/>
    <w:rsid w:val="0056620B"/>
    <w:rsid w:val="00573AED"/>
    <w:rsid w:val="005760A0"/>
    <w:rsid w:val="00576F98"/>
    <w:rsid w:val="0058718B"/>
    <w:rsid w:val="00591EDA"/>
    <w:rsid w:val="00597E80"/>
    <w:rsid w:val="005A1833"/>
    <w:rsid w:val="005A2388"/>
    <w:rsid w:val="005A3748"/>
    <w:rsid w:val="005A51AF"/>
    <w:rsid w:val="005A5AE7"/>
    <w:rsid w:val="005B211E"/>
    <w:rsid w:val="005B5623"/>
    <w:rsid w:val="005B5B8E"/>
    <w:rsid w:val="005C32C6"/>
    <w:rsid w:val="005C4288"/>
    <w:rsid w:val="005C5D1E"/>
    <w:rsid w:val="005C7CDC"/>
    <w:rsid w:val="005D0213"/>
    <w:rsid w:val="005D19E8"/>
    <w:rsid w:val="005D45FD"/>
    <w:rsid w:val="005D53B6"/>
    <w:rsid w:val="005E616F"/>
    <w:rsid w:val="005F2D2E"/>
    <w:rsid w:val="005F33B7"/>
    <w:rsid w:val="005F51E9"/>
    <w:rsid w:val="0060050B"/>
    <w:rsid w:val="00602931"/>
    <w:rsid w:val="00605865"/>
    <w:rsid w:val="00612E43"/>
    <w:rsid w:val="00614997"/>
    <w:rsid w:val="00617027"/>
    <w:rsid w:val="006245B6"/>
    <w:rsid w:val="00625432"/>
    <w:rsid w:val="00627846"/>
    <w:rsid w:val="00627B8A"/>
    <w:rsid w:val="00630B7C"/>
    <w:rsid w:val="0063251C"/>
    <w:rsid w:val="0063347B"/>
    <w:rsid w:val="00634365"/>
    <w:rsid w:val="006343BA"/>
    <w:rsid w:val="00641CBB"/>
    <w:rsid w:val="00642ABF"/>
    <w:rsid w:val="00646BEC"/>
    <w:rsid w:val="00661A3F"/>
    <w:rsid w:val="006620E7"/>
    <w:rsid w:val="00663822"/>
    <w:rsid w:val="006657AC"/>
    <w:rsid w:val="00666E9F"/>
    <w:rsid w:val="006754AC"/>
    <w:rsid w:val="00680645"/>
    <w:rsid w:val="0068186B"/>
    <w:rsid w:val="006838A1"/>
    <w:rsid w:val="006B0116"/>
    <w:rsid w:val="006B04A8"/>
    <w:rsid w:val="006B1BC5"/>
    <w:rsid w:val="006B5236"/>
    <w:rsid w:val="006C2514"/>
    <w:rsid w:val="006C5F3B"/>
    <w:rsid w:val="006D1211"/>
    <w:rsid w:val="006D5991"/>
    <w:rsid w:val="006E012D"/>
    <w:rsid w:val="006E0E11"/>
    <w:rsid w:val="006E5741"/>
    <w:rsid w:val="006F692C"/>
    <w:rsid w:val="006F7A3D"/>
    <w:rsid w:val="007011EB"/>
    <w:rsid w:val="007023E3"/>
    <w:rsid w:val="00702CED"/>
    <w:rsid w:val="00703589"/>
    <w:rsid w:val="0070448F"/>
    <w:rsid w:val="0070774F"/>
    <w:rsid w:val="00715DAB"/>
    <w:rsid w:val="00722DF2"/>
    <w:rsid w:val="0072462B"/>
    <w:rsid w:val="00727A6F"/>
    <w:rsid w:val="00727E87"/>
    <w:rsid w:val="00732699"/>
    <w:rsid w:val="00732E73"/>
    <w:rsid w:val="00733D1E"/>
    <w:rsid w:val="00742C5C"/>
    <w:rsid w:val="00742CE5"/>
    <w:rsid w:val="00744B4F"/>
    <w:rsid w:val="00745710"/>
    <w:rsid w:val="00746C77"/>
    <w:rsid w:val="007525FD"/>
    <w:rsid w:val="00752AE5"/>
    <w:rsid w:val="007547D2"/>
    <w:rsid w:val="00755357"/>
    <w:rsid w:val="00756E49"/>
    <w:rsid w:val="0075761B"/>
    <w:rsid w:val="00766A23"/>
    <w:rsid w:val="007710A9"/>
    <w:rsid w:val="00775532"/>
    <w:rsid w:val="00777C0A"/>
    <w:rsid w:val="00777D7F"/>
    <w:rsid w:val="007822AD"/>
    <w:rsid w:val="00784168"/>
    <w:rsid w:val="00786EFD"/>
    <w:rsid w:val="007952F7"/>
    <w:rsid w:val="007A0501"/>
    <w:rsid w:val="007A0970"/>
    <w:rsid w:val="007A1DA2"/>
    <w:rsid w:val="007A23F7"/>
    <w:rsid w:val="007A5C68"/>
    <w:rsid w:val="007B6287"/>
    <w:rsid w:val="007C09E8"/>
    <w:rsid w:val="007C3734"/>
    <w:rsid w:val="007C540E"/>
    <w:rsid w:val="007D46A3"/>
    <w:rsid w:val="007D4D98"/>
    <w:rsid w:val="007F2946"/>
    <w:rsid w:val="007F6C39"/>
    <w:rsid w:val="00801D44"/>
    <w:rsid w:val="00802863"/>
    <w:rsid w:val="00803285"/>
    <w:rsid w:val="00804286"/>
    <w:rsid w:val="00810F54"/>
    <w:rsid w:val="00813659"/>
    <w:rsid w:val="008175B7"/>
    <w:rsid w:val="008221D8"/>
    <w:rsid w:val="00822294"/>
    <w:rsid w:val="00822B9B"/>
    <w:rsid w:val="00826E56"/>
    <w:rsid w:val="008304A5"/>
    <w:rsid w:val="00843C94"/>
    <w:rsid w:val="00850995"/>
    <w:rsid w:val="008514AB"/>
    <w:rsid w:val="00857376"/>
    <w:rsid w:val="00864781"/>
    <w:rsid w:val="008651C5"/>
    <w:rsid w:val="0086718C"/>
    <w:rsid w:val="00870249"/>
    <w:rsid w:val="00871F3B"/>
    <w:rsid w:val="00871F5D"/>
    <w:rsid w:val="00874803"/>
    <w:rsid w:val="00874BE0"/>
    <w:rsid w:val="00887A41"/>
    <w:rsid w:val="00892492"/>
    <w:rsid w:val="00893610"/>
    <w:rsid w:val="00894AF6"/>
    <w:rsid w:val="008957B4"/>
    <w:rsid w:val="008A0542"/>
    <w:rsid w:val="008A3D9B"/>
    <w:rsid w:val="008A59FC"/>
    <w:rsid w:val="008B4113"/>
    <w:rsid w:val="008C3EC6"/>
    <w:rsid w:val="008C5881"/>
    <w:rsid w:val="008D3A78"/>
    <w:rsid w:val="008E09D0"/>
    <w:rsid w:val="008E26E2"/>
    <w:rsid w:val="008F28F7"/>
    <w:rsid w:val="008F31F5"/>
    <w:rsid w:val="008F4BD3"/>
    <w:rsid w:val="008F4E5D"/>
    <w:rsid w:val="008F5FE7"/>
    <w:rsid w:val="00900FF3"/>
    <w:rsid w:val="00901806"/>
    <w:rsid w:val="009026B5"/>
    <w:rsid w:val="00905B7A"/>
    <w:rsid w:val="00906565"/>
    <w:rsid w:val="00910469"/>
    <w:rsid w:val="009104FD"/>
    <w:rsid w:val="00913DEB"/>
    <w:rsid w:val="009141B6"/>
    <w:rsid w:val="00920107"/>
    <w:rsid w:val="0092461F"/>
    <w:rsid w:val="00924961"/>
    <w:rsid w:val="0093034F"/>
    <w:rsid w:val="00932C56"/>
    <w:rsid w:val="00932E7E"/>
    <w:rsid w:val="00934BB6"/>
    <w:rsid w:val="00937640"/>
    <w:rsid w:val="0094102C"/>
    <w:rsid w:val="00941136"/>
    <w:rsid w:val="00941B97"/>
    <w:rsid w:val="00944BA8"/>
    <w:rsid w:val="00945841"/>
    <w:rsid w:val="00964413"/>
    <w:rsid w:val="00965171"/>
    <w:rsid w:val="009657DF"/>
    <w:rsid w:val="00965D18"/>
    <w:rsid w:val="009666C4"/>
    <w:rsid w:val="00982183"/>
    <w:rsid w:val="00990E19"/>
    <w:rsid w:val="00992A06"/>
    <w:rsid w:val="009A5AAB"/>
    <w:rsid w:val="009A7808"/>
    <w:rsid w:val="009B0D0F"/>
    <w:rsid w:val="009B25D0"/>
    <w:rsid w:val="009C54D8"/>
    <w:rsid w:val="009C6186"/>
    <w:rsid w:val="009C7FB8"/>
    <w:rsid w:val="009D0881"/>
    <w:rsid w:val="009D6D10"/>
    <w:rsid w:val="009E3637"/>
    <w:rsid w:val="009E3DEE"/>
    <w:rsid w:val="009E6412"/>
    <w:rsid w:val="009F0C0E"/>
    <w:rsid w:val="009F3368"/>
    <w:rsid w:val="009F3743"/>
    <w:rsid w:val="00A0661D"/>
    <w:rsid w:val="00A07D5F"/>
    <w:rsid w:val="00A11EC1"/>
    <w:rsid w:val="00A24FAC"/>
    <w:rsid w:val="00A30A48"/>
    <w:rsid w:val="00A35610"/>
    <w:rsid w:val="00A37A57"/>
    <w:rsid w:val="00A403C9"/>
    <w:rsid w:val="00A43C0A"/>
    <w:rsid w:val="00A44C37"/>
    <w:rsid w:val="00A46461"/>
    <w:rsid w:val="00A47CE0"/>
    <w:rsid w:val="00A550FC"/>
    <w:rsid w:val="00A63ED0"/>
    <w:rsid w:val="00A70774"/>
    <w:rsid w:val="00A76FE6"/>
    <w:rsid w:val="00A77FA5"/>
    <w:rsid w:val="00A808BB"/>
    <w:rsid w:val="00A81A63"/>
    <w:rsid w:val="00A915A4"/>
    <w:rsid w:val="00A97FF5"/>
    <w:rsid w:val="00AA0AB3"/>
    <w:rsid w:val="00AA347B"/>
    <w:rsid w:val="00AA3B39"/>
    <w:rsid w:val="00AA58DA"/>
    <w:rsid w:val="00AB2DB4"/>
    <w:rsid w:val="00AC1B7B"/>
    <w:rsid w:val="00AC31A1"/>
    <w:rsid w:val="00AD6B32"/>
    <w:rsid w:val="00AD6D77"/>
    <w:rsid w:val="00AD7742"/>
    <w:rsid w:val="00AE42DF"/>
    <w:rsid w:val="00AE4C3E"/>
    <w:rsid w:val="00AE5A52"/>
    <w:rsid w:val="00AE7883"/>
    <w:rsid w:val="00AE7A2A"/>
    <w:rsid w:val="00AF170D"/>
    <w:rsid w:val="00AF6924"/>
    <w:rsid w:val="00B019DA"/>
    <w:rsid w:val="00B01C89"/>
    <w:rsid w:val="00B02B67"/>
    <w:rsid w:val="00B0711F"/>
    <w:rsid w:val="00B10A26"/>
    <w:rsid w:val="00B10B50"/>
    <w:rsid w:val="00B14CD0"/>
    <w:rsid w:val="00B16EF5"/>
    <w:rsid w:val="00B17253"/>
    <w:rsid w:val="00B27097"/>
    <w:rsid w:val="00B31FF9"/>
    <w:rsid w:val="00B412DA"/>
    <w:rsid w:val="00B45ABA"/>
    <w:rsid w:val="00B4721C"/>
    <w:rsid w:val="00B52A68"/>
    <w:rsid w:val="00B60D2E"/>
    <w:rsid w:val="00B60EB7"/>
    <w:rsid w:val="00B626F2"/>
    <w:rsid w:val="00B65874"/>
    <w:rsid w:val="00B706DF"/>
    <w:rsid w:val="00B717CE"/>
    <w:rsid w:val="00B7420D"/>
    <w:rsid w:val="00B74593"/>
    <w:rsid w:val="00B75D30"/>
    <w:rsid w:val="00B75EE8"/>
    <w:rsid w:val="00B77106"/>
    <w:rsid w:val="00B778F5"/>
    <w:rsid w:val="00B80C4E"/>
    <w:rsid w:val="00B81A14"/>
    <w:rsid w:val="00B85A9F"/>
    <w:rsid w:val="00B85CB8"/>
    <w:rsid w:val="00B9236A"/>
    <w:rsid w:val="00B979E3"/>
    <w:rsid w:val="00BA7260"/>
    <w:rsid w:val="00BB0D76"/>
    <w:rsid w:val="00BB62EA"/>
    <w:rsid w:val="00BB63E5"/>
    <w:rsid w:val="00BB70AE"/>
    <w:rsid w:val="00BB7877"/>
    <w:rsid w:val="00BC17C1"/>
    <w:rsid w:val="00BC585C"/>
    <w:rsid w:val="00BC6AB2"/>
    <w:rsid w:val="00BD2490"/>
    <w:rsid w:val="00BD273D"/>
    <w:rsid w:val="00BF0E69"/>
    <w:rsid w:val="00BF4875"/>
    <w:rsid w:val="00BF4E67"/>
    <w:rsid w:val="00C01443"/>
    <w:rsid w:val="00C037B6"/>
    <w:rsid w:val="00C04E67"/>
    <w:rsid w:val="00C11273"/>
    <w:rsid w:val="00C15C2E"/>
    <w:rsid w:val="00C23790"/>
    <w:rsid w:val="00C23DD3"/>
    <w:rsid w:val="00C244C1"/>
    <w:rsid w:val="00C264CA"/>
    <w:rsid w:val="00C26B65"/>
    <w:rsid w:val="00C30C80"/>
    <w:rsid w:val="00C342E7"/>
    <w:rsid w:val="00C36C04"/>
    <w:rsid w:val="00C36FE4"/>
    <w:rsid w:val="00C41663"/>
    <w:rsid w:val="00C51B2B"/>
    <w:rsid w:val="00C5451A"/>
    <w:rsid w:val="00C55825"/>
    <w:rsid w:val="00C570A6"/>
    <w:rsid w:val="00C6044F"/>
    <w:rsid w:val="00C62415"/>
    <w:rsid w:val="00C666A6"/>
    <w:rsid w:val="00C66DD9"/>
    <w:rsid w:val="00C74C18"/>
    <w:rsid w:val="00C921B4"/>
    <w:rsid w:val="00C978C3"/>
    <w:rsid w:val="00CA6898"/>
    <w:rsid w:val="00CA6DF2"/>
    <w:rsid w:val="00CA7344"/>
    <w:rsid w:val="00CC32DA"/>
    <w:rsid w:val="00CC4FD4"/>
    <w:rsid w:val="00CD2BA8"/>
    <w:rsid w:val="00CD2F34"/>
    <w:rsid w:val="00CE0A47"/>
    <w:rsid w:val="00CE2244"/>
    <w:rsid w:val="00CE2C57"/>
    <w:rsid w:val="00CE6479"/>
    <w:rsid w:val="00CF1B98"/>
    <w:rsid w:val="00CF24A9"/>
    <w:rsid w:val="00CF403D"/>
    <w:rsid w:val="00CF42FF"/>
    <w:rsid w:val="00D0246A"/>
    <w:rsid w:val="00D026BA"/>
    <w:rsid w:val="00D13EA8"/>
    <w:rsid w:val="00D1738F"/>
    <w:rsid w:val="00D1761C"/>
    <w:rsid w:val="00D22F55"/>
    <w:rsid w:val="00D24170"/>
    <w:rsid w:val="00D25BDE"/>
    <w:rsid w:val="00D30C18"/>
    <w:rsid w:val="00D43F53"/>
    <w:rsid w:val="00D47D6C"/>
    <w:rsid w:val="00D50C70"/>
    <w:rsid w:val="00D5112F"/>
    <w:rsid w:val="00D5131F"/>
    <w:rsid w:val="00D52E51"/>
    <w:rsid w:val="00D603EF"/>
    <w:rsid w:val="00D6051F"/>
    <w:rsid w:val="00D7056D"/>
    <w:rsid w:val="00D73B87"/>
    <w:rsid w:val="00D7612F"/>
    <w:rsid w:val="00D87AF1"/>
    <w:rsid w:val="00D92AED"/>
    <w:rsid w:val="00DA22A3"/>
    <w:rsid w:val="00DA331F"/>
    <w:rsid w:val="00DA7298"/>
    <w:rsid w:val="00DB0393"/>
    <w:rsid w:val="00DB0731"/>
    <w:rsid w:val="00DB0E42"/>
    <w:rsid w:val="00DB16A5"/>
    <w:rsid w:val="00DB4EF5"/>
    <w:rsid w:val="00DB5CE1"/>
    <w:rsid w:val="00DC01A4"/>
    <w:rsid w:val="00DC45C4"/>
    <w:rsid w:val="00DC51EC"/>
    <w:rsid w:val="00DC5A36"/>
    <w:rsid w:val="00DC5BF1"/>
    <w:rsid w:val="00DC63DE"/>
    <w:rsid w:val="00DC7C2B"/>
    <w:rsid w:val="00DD062F"/>
    <w:rsid w:val="00DD5FA4"/>
    <w:rsid w:val="00DE4A15"/>
    <w:rsid w:val="00DF0AD2"/>
    <w:rsid w:val="00DF765A"/>
    <w:rsid w:val="00E066B8"/>
    <w:rsid w:val="00E06D0E"/>
    <w:rsid w:val="00E12958"/>
    <w:rsid w:val="00E12C5D"/>
    <w:rsid w:val="00E14D3C"/>
    <w:rsid w:val="00E17820"/>
    <w:rsid w:val="00E2391D"/>
    <w:rsid w:val="00E23F42"/>
    <w:rsid w:val="00E252CE"/>
    <w:rsid w:val="00E266C4"/>
    <w:rsid w:val="00E27A9B"/>
    <w:rsid w:val="00E32A6B"/>
    <w:rsid w:val="00E3396C"/>
    <w:rsid w:val="00E3735A"/>
    <w:rsid w:val="00E378E3"/>
    <w:rsid w:val="00E37989"/>
    <w:rsid w:val="00E47135"/>
    <w:rsid w:val="00E471C8"/>
    <w:rsid w:val="00E520DE"/>
    <w:rsid w:val="00E522EB"/>
    <w:rsid w:val="00E53017"/>
    <w:rsid w:val="00E545D3"/>
    <w:rsid w:val="00E54934"/>
    <w:rsid w:val="00E55663"/>
    <w:rsid w:val="00E611E8"/>
    <w:rsid w:val="00E63D8D"/>
    <w:rsid w:val="00E640F0"/>
    <w:rsid w:val="00E653C0"/>
    <w:rsid w:val="00E65EC4"/>
    <w:rsid w:val="00E66264"/>
    <w:rsid w:val="00E8177D"/>
    <w:rsid w:val="00E87E52"/>
    <w:rsid w:val="00E908CE"/>
    <w:rsid w:val="00EA3D14"/>
    <w:rsid w:val="00EA4C71"/>
    <w:rsid w:val="00EA7496"/>
    <w:rsid w:val="00EB4312"/>
    <w:rsid w:val="00EB43EF"/>
    <w:rsid w:val="00EB7929"/>
    <w:rsid w:val="00EC296B"/>
    <w:rsid w:val="00EC7BA9"/>
    <w:rsid w:val="00ED3880"/>
    <w:rsid w:val="00EE212C"/>
    <w:rsid w:val="00EE3BA9"/>
    <w:rsid w:val="00EE5DA8"/>
    <w:rsid w:val="00EF5887"/>
    <w:rsid w:val="00F007DB"/>
    <w:rsid w:val="00F01EB6"/>
    <w:rsid w:val="00F0210D"/>
    <w:rsid w:val="00F2136A"/>
    <w:rsid w:val="00F21594"/>
    <w:rsid w:val="00F23A3F"/>
    <w:rsid w:val="00F24CD8"/>
    <w:rsid w:val="00F24D31"/>
    <w:rsid w:val="00F33018"/>
    <w:rsid w:val="00F34B5E"/>
    <w:rsid w:val="00F350FD"/>
    <w:rsid w:val="00F35E2E"/>
    <w:rsid w:val="00F42F36"/>
    <w:rsid w:val="00F4391B"/>
    <w:rsid w:val="00F469D2"/>
    <w:rsid w:val="00F51B08"/>
    <w:rsid w:val="00F54ED1"/>
    <w:rsid w:val="00F562C8"/>
    <w:rsid w:val="00F63112"/>
    <w:rsid w:val="00F640B1"/>
    <w:rsid w:val="00F66713"/>
    <w:rsid w:val="00F67C96"/>
    <w:rsid w:val="00F70E57"/>
    <w:rsid w:val="00F743FF"/>
    <w:rsid w:val="00F81DC7"/>
    <w:rsid w:val="00F85C05"/>
    <w:rsid w:val="00F8711B"/>
    <w:rsid w:val="00F87414"/>
    <w:rsid w:val="00F935E8"/>
    <w:rsid w:val="00F93AF2"/>
    <w:rsid w:val="00FA10EB"/>
    <w:rsid w:val="00FB00B5"/>
    <w:rsid w:val="00FB6526"/>
    <w:rsid w:val="00FC415F"/>
    <w:rsid w:val="00FC5BC5"/>
    <w:rsid w:val="00FD1FD9"/>
    <w:rsid w:val="00FD2475"/>
    <w:rsid w:val="00FD509C"/>
    <w:rsid w:val="00FD6589"/>
    <w:rsid w:val="00FD7DA8"/>
    <w:rsid w:val="00FE46A9"/>
    <w:rsid w:val="00FE6354"/>
    <w:rsid w:val="00FF2E1E"/>
    <w:rsid w:val="00FF372D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696022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CE0A47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51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1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65171"/>
    <w:rPr>
      <w:vertAlign w:val="superscript"/>
    </w:rPr>
  </w:style>
  <w:style w:type="paragraph" w:styleId="Revision">
    <w:name w:val="Revision"/>
    <w:hidden/>
    <w:uiPriority w:val="99"/>
    <w:semiHidden/>
    <w:rsid w:val="001F5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1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9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RCW/default.aspx?cite=39.26.100" TargetMode="External"/><Relationship Id="rId18" Type="http://schemas.openxmlformats.org/officeDocument/2006/relationships/hyperlink" Target="https://apps.leg.wa.gov/rcw/default.aspx?cite=39.26&amp;full=true" TargetMode="External"/><Relationship Id="rId26" Type="http://schemas.openxmlformats.org/officeDocument/2006/relationships/hyperlink" Target="https://app.leg.wa.gov/RCW/default.aspx?cite=39.19.06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app.leg.wa.gov/RCW/default.aspx?cite=39.26.010" TargetMode="External"/><Relationship Id="rId34" Type="http://schemas.openxmlformats.org/officeDocument/2006/relationships/hyperlink" Target="https://des.wa.gov/sites/default/files/public/documents/About/Procurement_reform/Policies/DES-190-00GnSProcurementBonds.pdf?=d2a9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39.26.005" TargetMode="External"/><Relationship Id="rId20" Type="http://schemas.openxmlformats.org/officeDocument/2006/relationships/hyperlink" Target="https://app.leg.wa.gov/RCW/default.aspx?cite=43.60A.200" TargetMode="External"/><Relationship Id="rId29" Type="http://schemas.openxmlformats.org/officeDocument/2006/relationships/hyperlink" Target="https://omwbe.wa.gov/governors-subcabinet-business-diversity/disparity-stud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pps.leg.wa.gov/RCW/default.aspx?cite=28B.10.016" TargetMode="External"/><Relationship Id="rId24" Type="http://schemas.openxmlformats.org/officeDocument/2006/relationships/hyperlink" Target="https://app.leg.wa.gov/rcw/default.aspx?cite=39.19.010" TargetMode="External"/><Relationship Id="rId32" Type="http://schemas.openxmlformats.org/officeDocument/2006/relationships/hyperlink" Target="file:///\\des.wa.lcl\doc\CPRM\Enterprise-Policy\Pol_Pro_Gdl%20Documents\Green%20Purchasing%20Policies\Drafts\Sample%20Recycled%20Products%20%20Language.docx" TargetMode="External"/><Relationship Id="rId37" Type="http://schemas.openxmlformats.org/officeDocument/2006/relationships/header" Target="header2.xml"/><Relationship Id="rId40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yperlink" Target="https://app.leg.wa.gov/RCW/default.aspx?cite=39.26.090" TargetMode="External"/><Relationship Id="rId23" Type="http://schemas.openxmlformats.org/officeDocument/2006/relationships/hyperlink" Target="mailto:https://des.wa.gov/sites/default/files/public/documents/About/Procurement_reform/Policies/DES-210-01AgencyContractReporting.pdf?=c04df" TargetMode="External"/><Relationship Id="rId28" Type="http://schemas.openxmlformats.org/officeDocument/2006/relationships/hyperlink" Target="https://omwbe.wa.gov/state-supplier-diversity-reporting/tools-equity-public-spending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app.leg.wa.gov/RCW/default.aspx?cite=39.26.160" TargetMode="External"/><Relationship Id="rId31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leg.wa.gov/RCW/default.aspx?cite=39.26.102" TargetMode="External"/><Relationship Id="rId22" Type="http://schemas.openxmlformats.org/officeDocument/2006/relationships/hyperlink" Target="https://www.governor.wa.gov/sites/default/files/exe_order/19-01_VeteranAndMilitaryFamily%20.pdf" TargetMode="External"/><Relationship Id="rId27" Type="http://schemas.openxmlformats.org/officeDocument/2006/relationships/hyperlink" Target="https://www.governor.wa.gov/sites/default/files/exe_order/eo_05-03.pdf" TargetMode="External"/><Relationship Id="rId30" Type="http://schemas.openxmlformats.org/officeDocument/2006/relationships/comments" Target="comments.xm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app.leg.wa.gov/rcw/default.aspx?cite=39.26.010" TargetMode="External"/><Relationship Id="rId17" Type="http://schemas.openxmlformats.org/officeDocument/2006/relationships/hyperlink" Target="http://app.leg.wa.gov/RCW/default.aspx?cite=39.26.240" TargetMode="External"/><Relationship Id="rId25" Type="http://schemas.openxmlformats.org/officeDocument/2006/relationships/hyperlink" Target="https://app.leg.wa.gov/RCW/default.aspx?cite=39.19.030" TargetMode="External"/><Relationship Id="rId33" Type="http://schemas.openxmlformats.org/officeDocument/2006/relationships/hyperlink" Target="https://des.wa.gov/sites/default/files/public/documents/About/Procurement_reform/Policies/ComplaintProtest/GuidelineDebrief.docx?=b7335" TargetMode="External"/><Relationship Id="rId38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D6B2C87-2113-4F1C-9406-3A79FBC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Pretty, Jon (DES)</cp:lastModifiedBy>
  <cp:revision>3</cp:revision>
  <cp:lastPrinted>2019-01-08T22:15:00Z</cp:lastPrinted>
  <dcterms:created xsi:type="dcterms:W3CDTF">2021-07-30T04:35:00Z</dcterms:created>
  <dcterms:modified xsi:type="dcterms:W3CDTF">2021-07-30T17:35:00Z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