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63" w:rsidRDefault="00F5151E" w:rsidP="001C2863">
      <w:pPr>
        <w:spacing w:after="0" w:line="240" w:lineRule="auto"/>
      </w:pPr>
      <w:r>
        <w:t>DES PROCUREMENT POLICY GLOSSARY SUPPLEMENT</w:t>
      </w:r>
    </w:p>
    <w:p w:rsidR="001C2863" w:rsidRDefault="001C2863" w:rsidP="001C2863">
      <w:pPr>
        <w:spacing w:after="0" w:line="240" w:lineRule="auto"/>
      </w:pPr>
    </w:p>
    <w:p w:rsidR="00F5151E" w:rsidRPr="001C2863" w:rsidRDefault="001C2863" w:rsidP="001C2863">
      <w:pPr>
        <w:spacing w:after="0" w:line="240" w:lineRule="auto"/>
      </w:pPr>
      <w:r w:rsidRPr="00157A23">
        <w:rPr>
          <w:rFonts w:cstheme="minorHAnsi"/>
          <w:b/>
          <w:lang w:eastAsia="zh-TW" w:bidi="en-US"/>
        </w:rPr>
        <w:t>Effective date</w:t>
      </w:r>
      <w:r w:rsidRPr="00625432">
        <w:rPr>
          <w:rFonts w:cstheme="minorHAnsi"/>
          <w:lang w:eastAsia="zh-TW" w:bidi="en-US"/>
        </w:rPr>
        <w:t xml:space="preserve">: </w:t>
      </w:r>
      <w:r>
        <w:rPr>
          <w:rFonts w:cstheme="minorHAnsi"/>
        </w:rPr>
        <w:t xml:space="preserve"> {DATE}</w:t>
      </w:r>
    </w:p>
    <w:p w:rsidR="001C2863" w:rsidRPr="001C2863" w:rsidRDefault="001C2863" w:rsidP="001C2863">
      <w:pPr>
        <w:spacing w:after="0" w:line="240" w:lineRule="auto"/>
        <w:rPr>
          <w:rFonts w:cstheme="minorHAnsi"/>
          <w:lang w:eastAsia="zh-TW" w:bidi="en-US"/>
        </w:rPr>
      </w:pPr>
    </w:p>
    <w:p w:rsidR="00481BDF" w:rsidRPr="00481BDF" w:rsidRDefault="00481BDF" w:rsidP="001C2863">
      <w:pPr>
        <w:pStyle w:val="TableParagraph"/>
        <w:ind w:left="360"/>
        <w:rPr>
          <w:rFonts w:ascii="Calibri" w:eastAsia="Times New Roman" w:hAnsi="Calibri" w:cs="Times New Roman"/>
          <w:szCs w:val="24"/>
          <w:u w:val="single"/>
        </w:rPr>
      </w:pPr>
      <w:r w:rsidRPr="00481BDF">
        <w:rPr>
          <w:rFonts w:ascii="Calibri" w:eastAsia="Times New Roman" w:hAnsi="Calibri" w:cs="Times New Roman"/>
          <w:szCs w:val="24"/>
          <w:u w:val="single"/>
        </w:rPr>
        <w:t>Definitions pertinent to the sole source policy:</w:t>
      </w:r>
    </w:p>
    <w:p w:rsidR="00481BDF" w:rsidRDefault="00481BDF" w:rsidP="00481BDF">
      <w:pPr>
        <w:pStyle w:val="TableParagraph"/>
        <w:ind w:left="360"/>
        <w:rPr>
          <w:rFonts w:ascii="Calibri" w:eastAsia="Times New Roman" w:hAnsi="Calibri" w:cs="Times New Roman"/>
          <w:szCs w:val="24"/>
        </w:rPr>
      </w:pPr>
    </w:p>
    <w:p w:rsidR="00481BDF" w:rsidRPr="004D7F7E" w:rsidRDefault="00481BDF" w:rsidP="00481BDF">
      <w:pPr>
        <w:pStyle w:val="TableParagraph"/>
        <w:ind w:left="360"/>
        <w:rPr>
          <w:rFonts w:ascii="Calibri" w:eastAsia="Times New Roman" w:hAnsi="Calibri" w:cs="Times New Roman"/>
          <w:szCs w:val="24"/>
        </w:rPr>
      </w:pPr>
      <w:bookmarkStart w:id="0" w:name="_GoBack"/>
      <w:bookmarkEnd w:id="0"/>
      <w:r w:rsidRPr="004D7F7E">
        <w:rPr>
          <w:rFonts w:ascii="Calibri" w:eastAsia="Times New Roman" w:hAnsi="Calibri" w:cs="Times New Roman"/>
          <w:szCs w:val="24"/>
        </w:rPr>
        <w:t>“</w:t>
      </w:r>
      <w:r w:rsidRPr="004D7F7E">
        <w:rPr>
          <w:rFonts w:ascii="Calibri" w:eastAsia="Times New Roman" w:hAnsi="Calibri" w:cs="Times New Roman"/>
          <w:szCs w:val="24"/>
          <w:u w:val="single"/>
        </w:rPr>
        <w:t>Sole source contract</w:t>
      </w:r>
      <w:r w:rsidRPr="004D7F7E">
        <w:rPr>
          <w:rFonts w:ascii="Calibri" w:eastAsia="Times New Roman" w:hAnsi="Calibri" w:cs="Times New Roman"/>
          <w:szCs w:val="24"/>
        </w:rPr>
        <w:t xml:space="preserve">” refers to a category of instruments used for sole source acquisitions.  It can be in the form of a contract, purchase order, field order, etc.  </w:t>
      </w:r>
    </w:p>
    <w:p w:rsidR="00481BDF" w:rsidRDefault="00481BDF" w:rsidP="00481BDF">
      <w:pPr>
        <w:pStyle w:val="TableParagraph"/>
        <w:ind w:left="360"/>
        <w:rPr>
          <w:rFonts w:ascii="Calibri" w:eastAsia="Times New Roman" w:hAnsi="Calibri" w:cs="Times New Roman"/>
          <w:szCs w:val="24"/>
        </w:rPr>
      </w:pPr>
    </w:p>
    <w:p w:rsidR="005806EC" w:rsidRPr="004D7F7E" w:rsidRDefault="00481BDF" w:rsidP="00481BDF">
      <w:pPr>
        <w:pStyle w:val="TableParagraph"/>
        <w:ind w:left="360"/>
        <w:rPr>
          <w:rFonts w:ascii="Calibri" w:eastAsia="Times New Roman" w:hAnsi="Calibri" w:cs="Times New Roman"/>
          <w:szCs w:val="24"/>
        </w:rPr>
      </w:pPr>
      <w:r w:rsidRPr="004D7F7E">
        <w:rPr>
          <w:rFonts w:ascii="Calibri" w:eastAsia="Times New Roman" w:hAnsi="Calibri" w:cs="Times New Roman"/>
          <w:szCs w:val="24"/>
        </w:rPr>
        <w:t xml:space="preserve"> </w:t>
      </w:r>
      <w:r w:rsidR="005806EC" w:rsidRPr="004D7F7E">
        <w:rPr>
          <w:rFonts w:ascii="Calibri" w:eastAsia="Times New Roman" w:hAnsi="Calibri" w:cs="Times New Roman"/>
          <w:szCs w:val="24"/>
        </w:rPr>
        <w:t>“</w:t>
      </w:r>
      <w:r w:rsidR="005806EC" w:rsidRPr="004D7F7E">
        <w:rPr>
          <w:rFonts w:ascii="Calibri" w:eastAsia="Times New Roman" w:hAnsi="Calibri" w:cs="Times New Roman"/>
          <w:szCs w:val="24"/>
          <w:u w:val="single" w:color="303030"/>
        </w:rPr>
        <w:t>Approval</w:t>
      </w:r>
      <w:r w:rsidR="005806EC" w:rsidRPr="004D7F7E">
        <w:rPr>
          <w:rFonts w:ascii="Calibri" w:eastAsia="Times New Roman" w:hAnsi="Calibri" w:cs="Times New Roman"/>
          <w:szCs w:val="24"/>
        </w:rPr>
        <w:t>” means that all sole source contracting requirements have been met and the contract may go into effect.</w:t>
      </w:r>
    </w:p>
    <w:p w:rsidR="005806EC" w:rsidRDefault="005806EC" w:rsidP="005806EC">
      <w:pPr>
        <w:pStyle w:val="TableParagraph"/>
        <w:ind w:left="360"/>
        <w:rPr>
          <w:rFonts w:ascii="Calibri" w:eastAsia="Times New Roman" w:hAnsi="Calibri" w:cs="Times New Roman"/>
          <w:szCs w:val="24"/>
        </w:rPr>
      </w:pPr>
    </w:p>
    <w:p w:rsidR="005806EC" w:rsidRPr="004D7F7E" w:rsidRDefault="005806EC" w:rsidP="005806EC">
      <w:pPr>
        <w:pStyle w:val="TableParagraph"/>
        <w:ind w:left="360"/>
        <w:rPr>
          <w:rFonts w:ascii="Calibri" w:eastAsia="Times New Roman" w:hAnsi="Calibri" w:cs="Times New Roman"/>
          <w:szCs w:val="24"/>
        </w:rPr>
      </w:pPr>
      <w:r w:rsidRPr="004D7F7E">
        <w:rPr>
          <w:rFonts w:ascii="Calibri" w:eastAsia="Times New Roman" w:hAnsi="Calibri" w:cs="Times New Roman"/>
          <w:szCs w:val="24"/>
        </w:rPr>
        <w:t>“</w:t>
      </w:r>
      <w:r w:rsidRPr="004D7F7E">
        <w:rPr>
          <w:rFonts w:ascii="Calibri" w:eastAsia="Times New Roman" w:hAnsi="Calibri" w:cs="Times New Roman"/>
          <w:szCs w:val="24"/>
          <w:u w:val="single" w:color="303030"/>
        </w:rPr>
        <w:t>Disapproval</w:t>
      </w:r>
      <w:r w:rsidRPr="004D7F7E">
        <w:rPr>
          <w:rFonts w:ascii="Calibri" w:eastAsia="Times New Roman" w:hAnsi="Calibri" w:cs="Times New Roman"/>
          <w:szCs w:val="24"/>
        </w:rPr>
        <w:t>” means that all sole source contracting requirements have not been met.  Either changes or competition or both may be warranted.</w:t>
      </w:r>
    </w:p>
    <w:p w:rsidR="005806EC" w:rsidRDefault="005806EC" w:rsidP="005806EC">
      <w:pPr>
        <w:pStyle w:val="TableParagraph"/>
        <w:ind w:left="360"/>
        <w:rPr>
          <w:rFonts w:ascii="Calibri" w:eastAsia="Times New Roman" w:hAnsi="Calibri" w:cs="Times New Roman"/>
          <w:szCs w:val="24"/>
        </w:rPr>
      </w:pPr>
    </w:p>
    <w:p w:rsidR="005806EC" w:rsidRPr="004D7F7E" w:rsidRDefault="005806EC" w:rsidP="005806EC">
      <w:pPr>
        <w:tabs>
          <w:tab w:val="left" w:pos="619"/>
        </w:tabs>
        <w:spacing w:after="0" w:line="240" w:lineRule="auto"/>
        <w:ind w:left="360"/>
        <w:rPr>
          <w:rFonts w:ascii="Calibri" w:hAnsi="Calibri"/>
        </w:rPr>
      </w:pPr>
      <w:r w:rsidRPr="004D7F7E">
        <w:rPr>
          <w:rFonts w:ascii="Calibri" w:eastAsia="Times New Roman" w:hAnsi="Calibri" w:cs="Times New Roman"/>
          <w:szCs w:val="24"/>
        </w:rPr>
        <w:t>“</w:t>
      </w:r>
      <w:r w:rsidRPr="004D7F7E">
        <w:rPr>
          <w:rFonts w:ascii="Calibri" w:eastAsia="Times New Roman" w:hAnsi="Calibri" w:cs="Times New Roman"/>
          <w:szCs w:val="24"/>
          <w:u w:val="single" w:color="303030"/>
        </w:rPr>
        <w:t>Collaborative research</w:t>
      </w:r>
      <w:r w:rsidRPr="004D7F7E">
        <w:rPr>
          <w:rFonts w:ascii="Calibri" w:eastAsia="Times New Roman" w:hAnsi="Calibri" w:cs="Times New Roman"/>
          <w:szCs w:val="24"/>
        </w:rPr>
        <w:t>” means research conducted by an agency or institution of higher education with another public or private entity.</w:t>
      </w:r>
    </w:p>
    <w:p w:rsidR="005806EC" w:rsidRDefault="005806EC" w:rsidP="005806EC">
      <w:pPr>
        <w:pStyle w:val="ListParagraph"/>
        <w:tabs>
          <w:tab w:val="left" w:pos="619"/>
        </w:tabs>
        <w:spacing w:after="0" w:line="240" w:lineRule="auto"/>
        <w:ind w:left="360"/>
        <w:rPr>
          <w:rFonts w:ascii="Calibri" w:hAnsi="Calibri"/>
        </w:rPr>
      </w:pPr>
    </w:p>
    <w:p w:rsidR="005806EC" w:rsidRPr="004D7F7E" w:rsidRDefault="005806EC" w:rsidP="005806EC">
      <w:pPr>
        <w:pStyle w:val="ListParagraph"/>
        <w:tabs>
          <w:tab w:val="left" w:pos="619"/>
        </w:tabs>
        <w:spacing w:after="0" w:line="240" w:lineRule="auto"/>
        <w:ind w:left="360"/>
        <w:rPr>
          <w:rFonts w:ascii="Calibri" w:eastAsia="Times New Roman" w:hAnsi="Calibri" w:cs="Times New Roman"/>
          <w:szCs w:val="24"/>
        </w:rPr>
      </w:pPr>
      <w:r w:rsidRPr="004D7F7E">
        <w:rPr>
          <w:rFonts w:ascii="Calibri" w:hAnsi="Calibri"/>
        </w:rPr>
        <w:t>“</w:t>
      </w:r>
      <w:r w:rsidRPr="004D7F7E">
        <w:rPr>
          <w:rFonts w:ascii="Calibri" w:hAnsi="Calibri"/>
          <w:u w:val="single"/>
        </w:rPr>
        <w:t>Minor or administrative change</w:t>
      </w:r>
      <w:r w:rsidRPr="004D7F7E">
        <w:rPr>
          <w:rFonts w:ascii="Calibri" w:hAnsi="Calibri"/>
        </w:rPr>
        <w:t>” means revisions to the terms of a contract that do not affect the substantive rights of any party to that contract, such as a contractor's address change, etc.  Changes to contract performance or compensation, etc. would be examples of substantive changes.</w:t>
      </w:r>
    </w:p>
    <w:p w:rsidR="005806EC" w:rsidRDefault="005806EC" w:rsidP="005806EC">
      <w:pPr>
        <w:pStyle w:val="TableParagraph"/>
        <w:ind w:left="360"/>
        <w:rPr>
          <w:rFonts w:ascii="Calibri" w:eastAsia="Times New Roman" w:hAnsi="Calibri" w:cs="Times New Roman"/>
          <w:szCs w:val="24"/>
        </w:rPr>
      </w:pPr>
    </w:p>
    <w:p w:rsidR="005806EC" w:rsidRPr="004D7F7E" w:rsidRDefault="005806EC" w:rsidP="005806EC">
      <w:pPr>
        <w:pStyle w:val="TableParagraph"/>
        <w:ind w:left="360"/>
        <w:rPr>
          <w:rFonts w:ascii="Calibri" w:eastAsia="Times New Roman" w:hAnsi="Calibri" w:cs="Times New Roman"/>
          <w:szCs w:val="24"/>
        </w:rPr>
      </w:pPr>
      <w:r w:rsidRPr="004D7F7E">
        <w:rPr>
          <w:rFonts w:ascii="Calibri" w:eastAsia="Times New Roman" w:hAnsi="Calibri" w:cs="Times New Roman"/>
          <w:szCs w:val="24"/>
        </w:rPr>
        <w:t>“</w:t>
      </w:r>
      <w:r w:rsidRPr="004D7F7E">
        <w:rPr>
          <w:rFonts w:ascii="Calibri" w:eastAsia="Times New Roman" w:hAnsi="Calibri" w:cs="Times New Roman"/>
          <w:szCs w:val="24"/>
          <w:u w:val="single" w:color="303030"/>
        </w:rPr>
        <w:t>Non-State Funds</w:t>
      </w:r>
      <w:r w:rsidRPr="004D7F7E">
        <w:rPr>
          <w:rFonts w:ascii="Calibri" w:eastAsia="Times New Roman" w:hAnsi="Calibri" w:cs="Times New Roman"/>
          <w:szCs w:val="24"/>
        </w:rPr>
        <w:t>” means funds provided by other than a state source, such as general fund appropriation or other fee generated funds. Contracts funded by non-state funds means contracts where over 50% of the funding comes from non-state sources.</w:t>
      </w:r>
    </w:p>
    <w:p w:rsidR="00481BDF" w:rsidRDefault="00481BDF" w:rsidP="00481BDF">
      <w:pPr>
        <w:pStyle w:val="TableParagraph"/>
        <w:ind w:left="360"/>
        <w:rPr>
          <w:rFonts w:ascii="Calibri" w:hAnsi="Calibri" w:cstheme="minorHAnsi"/>
        </w:rPr>
      </w:pPr>
    </w:p>
    <w:p w:rsidR="00481BDF" w:rsidRPr="00481BDF" w:rsidRDefault="00481BDF" w:rsidP="00481BDF">
      <w:pPr>
        <w:pStyle w:val="TableParagraph"/>
        <w:ind w:left="360"/>
        <w:rPr>
          <w:rFonts w:ascii="Calibri" w:eastAsia="Times New Roman" w:hAnsi="Calibri" w:cs="Times New Roman"/>
          <w:szCs w:val="24"/>
        </w:rPr>
      </w:pPr>
      <w:r w:rsidRPr="005806EC">
        <w:rPr>
          <w:rFonts w:ascii="Calibri" w:eastAsia="Times New Roman" w:hAnsi="Calibri" w:cs="Times New Roman"/>
          <w:szCs w:val="24"/>
        </w:rPr>
        <w:t>“</w:t>
      </w:r>
      <w:r w:rsidRPr="005806EC">
        <w:rPr>
          <w:rFonts w:ascii="Calibri" w:eastAsia="Times New Roman" w:hAnsi="Calibri" w:cs="Times New Roman"/>
          <w:szCs w:val="24"/>
          <w:u w:val="single" w:color="303030"/>
        </w:rPr>
        <w:t>Professional Development</w:t>
      </w:r>
      <w:r w:rsidRPr="005806EC">
        <w:rPr>
          <w:rFonts w:ascii="Calibri" w:eastAsia="Times New Roman" w:hAnsi="Calibri" w:cs="Times New Roman"/>
          <w:szCs w:val="24"/>
        </w:rPr>
        <w:t>” refers to goods and/or services that enhance an employee’s work performance and/or career development</w:t>
      </w:r>
      <w:r w:rsidRPr="005806EC">
        <w:rPr>
          <w:rFonts w:ascii="Calibri" w:hAnsi="Calibri"/>
        </w:rPr>
        <w:t>.</w:t>
      </w:r>
      <w:r w:rsidRPr="005806EC">
        <w:rPr>
          <w:rFonts w:ascii="Calibri" w:hAnsi="Calibri" w:cstheme="minorHAnsi"/>
        </w:rPr>
        <w:t xml:space="preserve">   </w:t>
      </w:r>
    </w:p>
    <w:p w:rsidR="005806EC" w:rsidRDefault="005806EC" w:rsidP="005806EC">
      <w:pPr>
        <w:pStyle w:val="TableParagraph"/>
        <w:ind w:left="360"/>
        <w:rPr>
          <w:rFonts w:ascii="Calibri" w:eastAsia="Times New Roman" w:hAnsi="Calibri" w:cs="Times New Roman"/>
          <w:szCs w:val="24"/>
        </w:rPr>
      </w:pPr>
    </w:p>
    <w:p w:rsidR="00481BDF" w:rsidRPr="004D7F7E" w:rsidRDefault="00481BDF" w:rsidP="00481BDF">
      <w:pPr>
        <w:pStyle w:val="TableParagraph"/>
        <w:ind w:left="360"/>
        <w:rPr>
          <w:rFonts w:ascii="Calibri" w:eastAsia="Times New Roman" w:hAnsi="Calibri" w:cs="Times New Roman"/>
          <w:szCs w:val="24"/>
        </w:rPr>
      </w:pPr>
      <w:r w:rsidRPr="004D7F7E">
        <w:rPr>
          <w:rFonts w:ascii="Calibri" w:eastAsia="Times New Roman" w:hAnsi="Calibri" w:cs="Times New Roman"/>
          <w:szCs w:val="24"/>
        </w:rPr>
        <w:t>“</w:t>
      </w:r>
      <w:r w:rsidRPr="004D7F7E">
        <w:rPr>
          <w:rFonts w:ascii="Calibri" w:eastAsia="Times New Roman" w:hAnsi="Calibri" w:cs="Times New Roman"/>
          <w:szCs w:val="24"/>
          <w:u w:val="single" w:color="303030"/>
        </w:rPr>
        <w:t>Qualified master contracts</w:t>
      </w:r>
      <w:r w:rsidRPr="004D7F7E">
        <w:rPr>
          <w:rFonts w:ascii="Calibri" w:eastAsia="Times New Roman" w:hAnsi="Calibri" w:cs="Times New Roman"/>
          <w:szCs w:val="24"/>
        </w:rPr>
        <w:t>” means:</w:t>
      </w:r>
    </w:p>
    <w:p w:rsidR="00481BDF" w:rsidRPr="004D7F7E" w:rsidRDefault="00481BDF" w:rsidP="00481BDF">
      <w:pPr>
        <w:pStyle w:val="ListParagraph"/>
        <w:widowControl w:val="0"/>
        <w:numPr>
          <w:ilvl w:val="0"/>
          <w:numId w:val="4"/>
        </w:numPr>
        <w:spacing w:after="0" w:line="240" w:lineRule="auto"/>
        <w:ind w:left="900"/>
        <w:contextualSpacing w:val="0"/>
        <w:rPr>
          <w:rFonts w:ascii="Calibri" w:eastAsia="Times New Roman" w:hAnsi="Calibri" w:cs="Times New Roman"/>
          <w:szCs w:val="24"/>
        </w:rPr>
      </w:pPr>
      <w:r w:rsidRPr="004D7F7E">
        <w:rPr>
          <w:rFonts w:ascii="Calibri" w:hAnsi="Calibri"/>
        </w:rPr>
        <w:t>DES Master Contracts.</w:t>
      </w:r>
    </w:p>
    <w:p w:rsidR="00481BDF" w:rsidRPr="004D7F7E" w:rsidRDefault="00481BDF" w:rsidP="00481BDF">
      <w:pPr>
        <w:pStyle w:val="ListParagraph"/>
        <w:widowControl w:val="0"/>
        <w:numPr>
          <w:ilvl w:val="0"/>
          <w:numId w:val="4"/>
        </w:numPr>
        <w:spacing w:after="0" w:line="240" w:lineRule="auto"/>
        <w:ind w:left="900"/>
        <w:contextualSpacing w:val="0"/>
        <w:rPr>
          <w:rFonts w:ascii="Calibri" w:eastAsia="Times New Roman" w:hAnsi="Calibri" w:cs="Times New Roman"/>
          <w:szCs w:val="24"/>
        </w:rPr>
      </w:pPr>
      <w:r w:rsidRPr="004D7F7E">
        <w:rPr>
          <w:rFonts w:ascii="Calibri" w:hAnsi="Calibri"/>
        </w:rPr>
        <w:t>DES approved cooperative contracts that conform to all applicable Washington State procurement laws, rules, policies and trade agreements. DES will maintain a list of DES approved cooperative contracts that meet state requirements.</w:t>
      </w:r>
    </w:p>
    <w:p w:rsidR="00481BDF" w:rsidRDefault="00481BDF" w:rsidP="00481BDF">
      <w:pPr>
        <w:pStyle w:val="TableParagraph"/>
        <w:rPr>
          <w:rFonts w:ascii="Calibri" w:eastAsia="Times New Roman" w:hAnsi="Calibri" w:cs="Times New Roman"/>
          <w:szCs w:val="24"/>
        </w:rPr>
      </w:pPr>
    </w:p>
    <w:p w:rsidR="00481BDF" w:rsidRDefault="005806EC" w:rsidP="00481BDF">
      <w:pPr>
        <w:pStyle w:val="TableParagraph"/>
        <w:ind w:left="360"/>
        <w:rPr>
          <w:rFonts w:ascii="Calibri" w:hAnsi="Calibri" w:cstheme="minorHAnsi"/>
        </w:rPr>
      </w:pPr>
      <w:r w:rsidRPr="004D7F7E">
        <w:rPr>
          <w:rFonts w:ascii="Calibri" w:eastAsia="Times New Roman" w:hAnsi="Calibri" w:cs="Times New Roman"/>
          <w:szCs w:val="24"/>
        </w:rPr>
        <w:t>“</w:t>
      </w:r>
      <w:r w:rsidRPr="004D7F7E">
        <w:rPr>
          <w:rFonts w:ascii="Calibri" w:eastAsia="Times New Roman" w:hAnsi="Calibri" w:cs="Times New Roman"/>
          <w:szCs w:val="24"/>
          <w:u w:val="single" w:color="303030"/>
        </w:rPr>
        <w:t>Software Maintenance and Support</w:t>
      </w:r>
      <w:r w:rsidRPr="004D7F7E">
        <w:rPr>
          <w:rFonts w:ascii="Calibri" w:eastAsia="Times New Roman" w:hAnsi="Calibri" w:cs="Times New Roman"/>
          <w:szCs w:val="24"/>
        </w:rPr>
        <w:t>” means services (maintenance) provided by a Licensor (proprietary owner) of software products to Licensee including, but not limited to, fixes, upgrades and the like to the software code or program.  Technical services (support) may be included or sold as a</w:t>
      </w:r>
      <w:r w:rsidRPr="004D7F7E">
        <w:rPr>
          <w:rFonts w:ascii="Calibri" w:hAnsi="Calibri" w:cstheme="minorHAnsi"/>
        </w:rPr>
        <w:t xml:space="preserve"> </w:t>
      </w:r>
      <w:r w:rsidRPr="004D7F7E">
        <w:rPr>
          <w:rFonts w:ascii="Calibri" w:hAnsi="Calibri"/>
        </w:rPr>
        <w:t xml:space="preserve">separate offering by the Licensor and are covered under this exemption. This exemption </w:t>
      </w:r>
      <w:r w:rsidRPr="004D7F7E">
        <w:rPr>
          <w:rFonts w:ascii="Calibri" w:hAnsi="Calibri"/>
          <w:u w:val="single" w:color="303030"/>
        </w:rPr>
        <w:t xml:space="preserve">does not include </w:t>
      </w:r>
      <w:r w:rsidRPr="004D7F7E">
        <w:rPr>
          <w:rFonts w:ascii="Calibri" w:hAnsi="Calibri"/>
        </w:rPr>
        <w:t>maintenance or support services provided by or through a third party.</w:t>
      </w:r>
      <w:r w:rsidRPr="004D7F7E">
        <w:rPr>
          <w:rFonts w:ascii="Calibri" w:hAnsi="Calibri" w:cstheme="minorHAnsi"/>
        </w:rPr>
        <w:t xml:space="preserve">  </w:t>
      </w:r>
    </w:p>
    <w:sectPr w:rsidR="00481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301D7"/>
    <w:multiLevelType w:val="hybridMultilevel"/>
    <w:tmpl w:val="A12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6452D"/>
    <w:multiLevelType w:val="hybridMultilevel"/>
    <w:tmpl w:val="1310CCDC"/>
    <w:lvl w:ilvl="0" w:tplc="C2806378">
      <w:start w:val="1"/>
      <w:numFmt w:val="decimal"/>
      <w:lvlText w:val="%1)"/>
      <w:lvlJc w:val="left"/>
      <w:pPr>
        <w:ind w:left="1136" w:hanging="360"/>
      </w:pPr>
      <w:rPr>
        <w:rFonts w:asciiTheme="minorHAnsi" w:eastAsia="Times New Roman" w:hAnsiTheme="minorHAnsi" w:cstheme="minorHAnsi" w:hint="default"/>
        <w:sz w:val="22"/>
        <w:szCs w:val="22"/>
      </w:rPr>
    </w:lvl>
    <w:lvl w:ilvl="1" w:tplc="53985874">
      <w:start w:val="1"/>
      <w:numFmt w:val="bullet"/>
      <w:lvlText w:val="•"/>
      <w:lvlJc w:val="left"/>
      <w:pPr>
        <w:ind w:left="1830" w:hanging="360"/>
      </w:pPr>
      <w:rPr>
        <w:rFonts w:hint="default"/>
      </w:rPr>
    </w:lvl>
    <w:lvl w:ilvl="2" w:tplc="DCAA0B3E">
      <w:start w:val="1"/>
      <w:numFmt w:val="bullet"/>
      <w:lvlText w:val="•"/>
      <w:lvlJc w:val="left"/>
      <w:pPr>
        <w:ind w:left="2525" w:hanging="360"/>
      </w:pPr>
      <w:rPr>
        <w:rFonts w:hint="default"/>
      </w:rPr>
    </w:lvl>
    <w:lvl w:ilvl="3" w:tplc="B31A610A">
      <w:start w:val="1"/>
      <w:numFmt w:val="bullet"/>
      <w:lvlText w:val="•"/>
      <w:lvlJc w:val="left"/>
      <w:pPr>
        <w:ind w:left="3220" w:hanging="360"/>
      </w:pPr>
      <w:rPr>
        <w:rFonts w:hint="default"/>
      </w:rPr>
    </w:lvl>
    <w:lvl w:ilvl="4" w:tplc="22989E40">
      <w:start w:val="1"/>
      <w:numFmt w:val="bullet"/>
      <w:lvlText w:val="•"/>
      <w:lvlJc w:val="left"/>
      <w:pPr>
        <w:ind w:left="3915" w:hanging="360"/>
      </w:pPr>
      <w:rPr>
        <w:rFonts w:hint="default"/>
      </w:rPr>
    </w:lvl>
    <w:lvl w:ilvl="5" w:tplc="989AED56">
      <w:start w:val="1"/>
      <w:numFmt w:val="bullet"/>
      <w:lvlText w:val="•"/>
      <w:lvlJc w:val="left"/>
      <w:pPr>
        <w:ind w:left="4609" w:hanging="360"/>
      </w:pPr>
      <w:rPr>
        <w:rFonts w:hint="default"/>
      </w:rPr>
    </w:lvl>
    <w:lvl w:ilvl="6" w:tplc="BC6C2752">
      <w:start w:val="1"/>
      <w:numFmt w:val="bullet"/>
      <w:lvlText w:val="•"/>
      <w:lvlJc w:val="left"/>
      <w:pPr>
        <w:ind w:left="5304" w:hanging="360"/>
      </w:pPr>
      <w:rPr>
        <w:rFonts w:hint="default"/>
      </w:rPr>
    </w:lvl>
    <w:lvl w:ilvl="7" w:tplc="F5208608">
      <w:start w:val="1"/>
      <w:numFmt w:val="bullet"/>
      <w:lvlText w:val="•"/>
      <w:lvlJc w:val="left"/>
      <w:pPr>
        <w:ind w:left="5999" w:hanging="360"/>
      </w:pPr>
      <w:rPr>
        <w:rFonts w:hint="default"/>
      </w:rPr>
    </w:lvl>
    <w:lvl w:ilvl="8" w:tplc="471211E6">
      <w:start w:val="1"/>
      <w:numFmt w:val="bullet"/>
      <w:lvlText w:val="•"/>
      <w:lvlJc w:val="left"/>
      <w:pPr>
        <w:ind w:left="6693" w:hanging="360"/>
      </w:pPr>
      <w:rPr>
        <w:rFonts w:hint="default"/>
      </w:rPr>
    </w:lvl>
  </w:abstractNum>
  <w:abstractNum w:abstractNumId="2" w15:restartNumberingAfterBreak="0">
    <w:nsid w:val="5EC74CFA"/>
    <w:multiLevelType w:val="hybridMultilevel"/>
    <w:tmpl w:val="0FDA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071C77"/>
    <w:multiLevelType w:val="hybridMultilevel"/>
    <w:tmpl w:val="4252A18C"/>
    <w:lvl w:ilvl="0" w:tplc="BDF04C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1E"/>
    <w:rsid w:val="001C2863"/>
    <w:rsid w:val="003D7446"/>
    <w:rsid w:val="00481BDF"/>
    <w:rsid w:val="005806EC"/>
    <w:rsid w:val="005D47C5"/>
    <w:rsid w:val="00B57379"/>
    <w:rsid w:val="00F5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07B24-3264-43DD-AAA2-106F0C26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5151E"/>
    <w:pPr>
      <w:ind w:left="720"/>
      <w:contextualSpacing/>
    </w:pPr>
  </w:style>
  <w:style w:type="paragraph" w:styleId="Subtitle">
    <w:name w:val="Subtitle"/>
    <w:basedOn w:val="Normal"/>
    <w:next w:val="Normal"/>
    <w:link w:val="SubtitleChar"/>
    <w:uiPriority w:val="11"/>
    <w:qFormat/>
    <w:rsid w:val="005806EC"/>
    <w:pPr>
      <w:numPr>
        <w:ilvl w:val="1"/>
      </w:numPr>
      <w:spacing w:after="120" w:line="240" w:lineRule="auto"/>
    </w:pPr>
    <w:rPr>
      <w:rFonts w:ascii="Georgia" w:eastAsiaTheme="majorEastAsia" w:hAnsi="Georgia" w:cstheme="majorBidi"/>
      <w:b/>
      <w:iCs/>
      <w:noProof/>
      <w:color w:val="1F4E79" w:themeColor="accent1" w:themeShade="80"/>
      <w:lang w:eastAsia="zh-TW" w:bidi="en-US"/>
    </w:rPr>
  </w:style>
  <w:style w:type="character" w:customStyle="1" w:styleId="SubtitleChar">
    <w:name w:val="Subtitle Char"/>
    <w:basedOn w:val="DefaultParagraphFont"/>
    <w:link w:val="Subtitle"/>
    <w:uiPriority w:val="11"/>
    <w:rsid w:val="005806EC"/>
    <w:rPr>
      <w:rFonts w:ascii="Georgia" w:eastAsiaTheme="majorEastAsia" w:hAnsi="Georgia" w:cstheme="majorBidi"/>
      <w:b/>
      <w:iCs/>
      <w:noProof/>
      <w:color w:val="1F4E79" w:themeColor="accent1" w:themeShade="80"/>
      <w:lang w:eastAsia="zh-TW" w:bidi="en-US"/>
    </w:rPr>
  </w:style>
  <w:style w:type="paragraph" w:customStyle="1" w:styleId="TableParagraph">
    <w:name w:val="Table Paragraph"/>
    <w:basedOn w:val="Normal"/>
    <w:uiPriority w:val="1"/>
    <w:qFormat/>
    <w:rsid w:val="005806E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Zavatsky, Drew (DES)</dc:creator>
  <cp:keywords/>
  <dc:description/>
  <cp:lastModifiedBy>Presnell, Farrell (DES)</cp:lastModifiedBy>
  <cp:revision>2</cp:revision>
  <dcterms:created xsi:type="dcterms:W3CDTF">2019-01-29T00:26:00Z</dcterms:created>
  <dcterms:modified xsi:type="dcterms:W3CDTF">2019-01-29T00:26:00Z</dcterms:modified>
</cp:coreProperties>
</file>