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68A1D" w14:textId="77777777" w:rsidR="00CE6479" w:rsidRPr="00E54934" w:rsidRDefault="00CE6479" w:rsidP="00CE6479">
      <w:pPr>
        <w:pStyle w:val="Subtitle"/>
        <w:spacing w:after="0"/>
        <w:rPr>
          <w:rFonts w:asciiTheme="minorHAnsi" w:hAnsiTheme="minorHAnsi" w:cstheme="minorHAnsi"/>
          <w:b w:val="0"/>
        </w:rPr>
      </w:pPr>
      <w:r w:rsidRPr="00D0246A">
        <w:rPr>
          <w:rFonts w:asciiTheme="minorHAnsi" w:hAnsiTheme="minorHAnsi" w:cstheme="minorHAnsi"/>
        </w:rPr>
        <w:t xml:space="preserve">Enterprise Services Policy No. </w:t>
      </w:r>
      <w:r w:rsidR="00B75D30">
        <w:rPr>
          <w:rFonts w:asciiTheme="minorHAnsi" w:hAnsiTheme="minorHAnsi" w:cstheme="minorHAnsi"/>
        </w:rPr>
        <w:t xml:space="preserve"> </w:t>
      </w:r>
      <w:r w:rsidR="0029245B">
        <w:rPr>
          <w:rFonts w:asciiTheme="minorHAnsi" w:hAnsiTheme="minorHAnsi" w:cstheme="minorHAnsi"/>
        </w:rPr>
        <w:t>POL-DES-</w:t>
      </w:r>
      <w:r w:rsidR="00D37A79">
        <w:rPr>
          <w:rFonts w:asciiTheme="minorHAnsi" w:hAnsiTheme="minorHAnsi" w:cstheme="minorHAnsi"/>
        </w:rPr>
        <w:t>14</w:t>
      </w:r>
      <w:r w:rsidR="0029245B">
        <w:rPr>
          <w:rFonts w:asciiTheme="minorHAnsi" w:hAnsiTheme="minorHAnsi" w:cstheme="minorHAnsi"/>
        </w:rPr>
        <w:t>0-00</w:t>
      </w:r>
    </w:p>
    <w:p w14:paraId="72CD526C" w14:textId="77777777" w:rsidR="00CE6479" w:rsidRDefault="00D37A79" w:rsidP="00295C76">
      <w:pPr>
        <w:pStyle w:val="Title"/>
        <w:rPr>
          <w:color w:val="1F3864" w:themeColor="accent5" w:themeShade="80"/>
        </w:rPr>
      </w:pPr>
      <w:r>
        <w:rPr>
          <w:color w:val="1F3864" w:themeColor="accent5" w:themeShade="80"/>
        </w:rPr>
        <w:t xml:space="preserve">Sole Source Contract </w:t>
      </w:r>
      <w:r w:rsidR="00D11BEE">
        <w:rPr>
          <w:color w:val="1F3864" w:themeColor="accent5" w:themeShade="80"/>
        </w:rPr>
        <w:t>Policy</w:t>
      </w:r>
    </w:p>
    <w:p w14:paraId="49DFFBE9" w14:textId="77777777" w:rsidR="00C03FB4" w:rsidRPr="00C03FB4" w:rsidRDefault="00C03FB4" w:rsidP="00C03FB4">
      <w:pPr>
        <w:pStyle w:val="Title"/>
        <w:rPr>
          <w:color w:val="1F3864" w:themeColor="accent5" w:themeShade="80"/>
        </w:rPr>
      </w:pPr>
      <w:r w:rsidRPr="00C03FB4">
        <w:rPr>
          <w:color w:val="1F3864" w:themeColor="accent5" w:themeShade="80"/>
        </w:rPr>
        <w:t>FREQUEN</w:t>
      </w:r>
      <w:r w:rsidR="002E2CEF">
        <w:rPr>
          <w:color w:val="1F3864" w:themeColor="accent5" w:themeShade="80"/>
        </w:rPr>
        <w:t>TL</w:t>
      </w:r>
      <w:r w:rsidRPr="00C03FB4">
        <w:rPr>
          <w:color w:val="1F3864" w:themeColor="accent5" w:themeShade="80"/>
        </w:rPr>
        <w:t>Y ASKED QUESTIONS</w:t>
      </w:r>
    </w:p>
    <w:p w14:paraId="30CFEB18" w14:textId="77777777" w:rsidR="00CE6479" w:rsidRDefault="00CE6479" w:rsidP="00295C76">
      <w:pPr>
        <w:pStyle w:val="Heading1"/>
      </w:pPr>
    </w:p>
    <w:p w14:paraId="337ABC34" w14:textId="77777777" w:rsidR="00CF5C32" w:rsidRPr="00372DE7" w:rsidRDefault="00BC2ACD" w:rsidP="00632DAB">
      <w:pPr>
        <w:pStyle w:val="ListParagraph"/>
        <w:numPr>
          <w:ilvl w:val="0"/>
          <w:numId w:val="18"/>
        </w:numPr>
        <w:spacing w:after="0" w:line="240" w:lineRule="auto"/>
        <w:ind w:left="360" w:right="90"/>
        <w:rPr>
          <w:rFonts w:ascii="Calibri" w:hAnsi="Calibri" w:cstheme="minorHAnsi"/>
        </w:rPr>
      </w:pPr>
      <w:r w:rsidRPr="00372DE7">
        <w:rPr>
          <w:rFonts w:ascii="Calibri" w:hAnsi="Calibri" w:cstheme="minorHAnsi"/>
          <w:b/>
        </w:rPr>
        <w:t>Question:</w:t>
      </w:r>
      <w:r w:rsidRPr="00372DE7">
        <w:rPr>
          <w:rFonts w:ascii="Calibri" w:hAnsi="Calibri" w:cstheme="minorHAnsi"/>
        </w:rPr>
        <w:t xml:space="preserve">  </w:t>
      </w:r>
      <w:r w:rsidR="00D37A79" w:rsidRPr="00E4591D">
        <w:rPr>
          <w:rFonts w:ascii="Calibri" w:hAnsi="Calibri" w:cs="Times New Roman"/>
          <w:b/>
          <w:szCs w:val="24"/>
        </w:rPr>
        <w:t xml:space="preserve">If DES does not provide a decision within 10 </w:t>
      </w:r>
      <w:r w:rsidR="00236D2F">
        <w:rPr>
          <w:rFonts w:ascii="Calibri" w:hAnsi="Calibri" w:cs="Times New Roman"/>
          <w:b/>
          <w:szCs w:val="24"/>
        </w:rPr>
        <w:t>working</w:t>
      </w:r>
      <w:r w:rsidR="00236D2F" w:rsidRPr="00E4591D">
        <w:rPr>
          <w:rFonts w:ascii="Calibri" w:hAnsi="Calibri" w:cs="Times New Roman"/>
          <w:b/>
          <w:szCs w:val="24"/>
        </w:rPr>
        <w:t xml:space="preserve"> </w:t>
      </w:r>
      <w:r w:rsidR="00D37A79" w:rsidRPr="00E4591D">
        <w:rPr>
          <w:rFonts w:ascii="Calibri" w:hAnsi="Calibri" w:cs="Times New Roman"/>
          <w:b/>
          <w:szCs w:val="24"/>
        </w:rPr>
        <w:t>days of the filing, does the sole source contract automatically become approved?</w:t>
      </w:r>
    </w:p>
    <w:p w14:paraId="0692F17C" w14:textId="77777777" w:rsidR="00D37A79" w:rsidRPr="00372DE7" w:rsidRDefault="00D37A79" w:rsidP="00632DAB">
      <w:pPr>
        <w:pStyle w:val="ListParagraph"/>
        <w:spacing w:after="0" w:line="240" w:lineRule="auto"/>
        <w:ind w:left="360" w:right="90"/>
        <w:rPr>
          <w:rFonts w:ascii="Calibri" w:hAnsi="Calibri" w:cstheme="minorHAnsi"/>
          <w:b/>
        </w:rPr>
      </w:pPr>
    </w:p>
    <w:p w14:paraId="4E46C650" w14:textId="77777777" w:rsidR="00D37A79" w:rsidRPr="00372DE7" w:rsidRDefault="00D37A79" w:rsidP="00632DAB">
      <w:pPr>
        <w:pStyle w:val="ListParagraph"/>
        <w:spacing w:after="0" w:line="240" w:lineRule="auto"/>
        <w:ind w:left="360" w:right="90"/>
        <w:rPr>
          <w:rFonts w:ascii="Calibri" w:hAnsi="Calibri" w:cs="Times New Roman"/>
          <w:b/>
          <w:szCs w:val="24"/>
        </w:rPr>
      </w:pPr>
      <w:r w:rsidRPr="00372DE7">
        <w:rPr>
          <w:rFonts w:ascii="Calibri" w:hAnsi="Calibri" w:cstheme="minorHAnsi"/>
          <w:b/>
        </w:rPr>
        <w:t xml:space="preserve">Answer: </w:t>
      </w:r>
      <w:r w:rsidRPr="00372DE7">
        <w:rPr>
          <w:rFonts w:ascii="Calibri" w:hAnsi="Calibri" w:cs="Times New Roman"/>
          <w:szCs w:val="24"/>
        </w:rPr>
        <w:t xml:space="preserve">No. The goal of DES is to process all requests within 10 </w:t>
      </w:r>
      <w:r w:rsidR="00236D2F">
        <w:rPr>
          <w:rFonts w:ascii="Calibri" w:hAnsi="Calibri" w:cs="Times New Roman"/>
          <w:szCs w:val="24"/>
        </w:rPr>
        <w:t>working</w:t>
      </w:r>
      <w:r w:rsidR="00236D2F" w:rsidRPr="00372DE7">
        <w:rPr>
          <w:rFonts w:ascii="Calibri" w:hAnsi="Calibri" w:cs="Times New Roman"/>
          <w:szCs w:val="24"/>
        </w:rPr>
        <w:t xml:space="preserve"> </w:t>
      </w:r>
      <w:r w:rsidRPr="00372DE7">
        <w:rPr>
          <w:rFonts w:ascii="Calibri" w:hAnsi="Calibri" w:cs="Times New Roman"/>
          <w:szCs w:val="24"/>
        </w:rPr>
        <w:t>days. There may be circumstances in which additional time will be required.</w:t>
      </w:r>
      <w:r w:rsidR="001A57D4">
        <w:rPr>
          <w:rFonts w:ascii="Calibri" w:hAnsi="Calibri" w:cs="Times New Roman"/>
          <w:szCs w:val="24"/>
        </w:rPr>
        <w:t xml:space="preserve">  For example, the number and complexity of requests received by DES can impact DES’s processing time.</w:t>
      </w:r>
      <w:r w:rsidRPr="00372DE7">
        <w:rPr>
          <w:rFonts w:ascii="Calibri" w:hAnsi="Calibri" w:cs="Times New Roman"/>
          <w:szCs w:val="24"/>
        </w:rPr>
        <w:t xml:space="preserve"> DES will notify the agency of any delays or need for additional time. </w:t>
      </w:r>
      <w:r w:rsidR="001A57D4">
        <w:rPr>
          <w:rFonts w:ascii="Calibri" w:hAnsi="Calibri" w:cs="Times New Roman"/>
          <w:szCs w:val="24"/>
        </w:rPr>
        <w:t xml:space="preserve"> Agencies are encouraged to budget ample lead time to accommodate the DES approval process, vendor notice requirements, and transparency requirements. </w:t>
      </w:r>
      <w:r w:rsidRPr="00372DE7">
        <w:rPr>
          <w:rFonts w:ascii="Calibri" w:hAnsi="Calibri" w:cs="Times New Roman"/>
          <w:b/>
          <w:szCs w:val="24"/>
        </w:rPr>
        <w:t>[</w:t>
      </w:r>
      <w:r w:rsidR="00D72425" w:rsidRPr="00372DE7">
        <w:rPr>
          <w:rFonts w:ascii="Calibri" w:hAnsi="Calibri" w:cs="Times New Roman"/>
          <w:b/>
          <w:szCs w:val="24"/>
        </w:rPr>
        <w:t xml:space="preserve">FAQ published </w:t>
      </w:r>
      <w:r w:rsidRPr="00372DE7">
        <w:rPr>
          <w:rFonts w:ascii="Calibri" w:hAnsi="Calibri" w:cs="Times New Roman"/>
          <w:b/>
          <w:szCs w:val="24"/>
        </w:rPr>
        <w:t>2013</w:t>
      </w:r>
      <w:r w:rsidR="005622E9">
        <w:rPr>
          <w:rFonts w:ascii="Calibri" w:hAnsi="Calibri" w:cs="Times New Roman"/>
          <w:b/>
          <w:szCs w:val="24"/>
        </w:rPr>
        <w:t xml:space="preserve">, Revised </w:t>
      </w:r>
      <w:r w:rsidR="00B43AEE" w:rsidRPr="00166D19">
        <w:rPr>
          <w:rFonts w:ascii="Calibri" w:hAnsi="Calibri" w:cs="Times New Roman"/>
          <w:b/>
          <w:i/>
          <w:szCs w:val="24"/>
        </w:rPr>
        <w:t>INSERT P</w:t>
      </w:r>
      <w:r w:rsidR="005622E9" w:rsidRPr="005622E9">
        <w:rPr>
          <w:rFonts w:ascii="Calibri" w:hAnsi="Calibri" w:cs="Times New Roman"/>
          <w:b/>
          <w:i/>
          <w:szCs w:val="24"/>
        </w:rPr>
        <w:t>UBLISH DATE</w:t>
      </w:r>
      <w:r w:rsidRPr="00372DE7">
        <w:rPr>
          <w:rFonts w:ascii="Calibri" w:hAnsi="Calibri" w:cs="Times New Roman"/>
          <w:b/>
          <w:szCs w:val="24"/>
        </w:rPr>
        <w:t>]</w:t>
      </w:r>
    </w:p>
    <w:p w14:paraId="0C32C19C" w14:textId="77777777" w:rsidR="00D37A79" w:rsidRPr="00372DE7" w:rsidRDefault="00D37A79" w:rsidP="00632DAB">
      <w:pPr>
        <w:pStyle w:val="ListParagraph"/>
        <w:spacing w:after="0" w:line="240" w:lineRule="auto"/>
        <w:ind w:left="360" w:right="90"/>
        <w:rPr>
          <w:rFonts w:ascii="Calibri" w:hAnsi="Calibri" w:cstheme="minorHAnsi"/>
        </w:rPr>
      </w:pPr>
    </w:p>
    <w:p w14:paraId="123A2949" w14:textId="77777777" w:rsidR="00D37A79" w:rsidRPr="00E4591D" w:rsidRDefault="00D37A79" w:rsidP="00632DAB">
      <w:pPr>
        <w:pStyle w:val="ListParagraph"/>
        <w:numPr>
          <w:ilvl w:val="0"/>
          <w:numId w:val="18"/>
        </w:numPr>
        <w:spacing w:after="0" w:line="240" w:lineRule="auto"/>
        <w:ind w:left="360" w:right="90"/>
        <w:rPr>
          <w:rFonts w:ascii="Calibri" w:hAnsi="Calibri" w:cstheme="minorHAnsi"/>
          <w:b/>
        </w:rPr>
      </w:pPr>
      <w:r w:rsidRPr="00372DE7">
        <w:rPr>
          <w:rFonts w:ascii="Calibri" w:hAnsi="Calibri" w:cstheme="minorHAnsi"/>
          <w:b/>
        </w:rPr>
        <w:t xml:space="preserve">Question:  </w:t>
      </w:r>
      <w:r w:rsidR="00D72425" w:rsidRPr="00E4591D">
        <w:rPr>
          <w:rFonts w:ascii="Calibri" w:hAnsi="Calibri" w:cs="Times New Roman"/>
          <w:b/>
          <w:szCs w:val="24"/>
        </w:rPr>
        <w:t xml:space="preserve">May the 5 </w:t>
      </w:r>
      <w:r w:rsidR="00236D2F">
        <w:rPr>
          <w:rFonts w:ascii="Calibri" w:hAnsi="Calibri" w:cs="Times New Roman"/>
          <w:b/>
          <w:szCs w:val="24"/>
        </w:rPr>
        <w:t>working</w:t>
      </w:r>
      <w:r w:rsidR="00236D2F" w:rsidRPr="00E4591D">
        <w:rPr>
          <w:rFonts w:ascii="Calibri" w:hAnsi="Calibri" w:cs="Times New Roman"/>
          <w:b/>
          <w:szCs w:val="24"/>
        </w:rPr>
        <w:t xml:space="preserve"> </w:t>
      </w:r>
      <w:r w:rsidR="00D72425" w:rsidRPr="00E4591D">
        <w:rPr>
          <w:rFonts w:ascii="Calibri" w:hAnsi="Calibri" w:cs="Times New Roman"/>
          <w:b/>
          <w:szCs w:val="24"/>
        </w:rPr>
        <w:t>days advertising requirement</w:t>
      </w:r>
      <w:r w:rsidR="00E4591D" w:rsidRPr="00E4591D">
        <w:rPr>
          <w:rFonts w:ascii="Calibri" w:hAnsi="Calibri" w:cs="Times New Roman"/>
          <w:b/>
          <w:szCs w:val="24"/>
        </w:rPr>
        <w:t xml:space="preserve"> through Washington’s Electronic Business Solution (WEBS)</w:t>
      </w:r>
      <w:r w:rsidR="00D72425" w:rsidRPr="00E4591D">
        <w:rPr>
          <w:rFonts w:ascii="Calibri" w:hAnsi="Calibri" w:cs="Times New Roman"/>
          <w:b/>
          <w:szCs w:val="24"/>
        </w:rPr>
        <w:t xml:space="preserve">, the </w:t>
      </w:r>
      <w:r w:rsidR="006D7A8F" w:rsidRPr="00E4591D">
        <w:rPr>
          <w:rFonts w:ascii="Calibri" w:hAnsi="Calibri" w:cs="Times New Roman"/>
          <w:b/>
          <w:szCs w:val="24"/>
        </w:rPr>
        <w:t>10</w:t>
      </w:r>
      <w:r w:rsidR="00D72425" w:rsidRPr="00E4591D">
        <w:rPr>
          <w:rFonts w:ascii="Calibri" w:hAnsi="Calibri" w:cs="Times New Roman"/>
          <w:b/>
          <w:szCs w:val="24"/>
        </w:rPr>
        <w:t xml:space="preserve"> </w:t>
      </w:r>
      <w:r w:rsidR="00236D2F">
        <w:rPr>
          <w:rFonts w:ascii="Calibri" w:hAnsi="Calibri" w:cs="Times New Roman"/>
          <w:b/>
          <w:szCs w:val="24"/>
        </w:rPr>
        <w:t>working</w:t>
      </w:r>
      <w:r w:rsidR="00236D2F" w:rsidRPr="00E4591D">
        <w:rPr>
          <w:rFonts w:ascii="Calibri" w:hAnsi="Calibri" w:cs="Times New Roman"/>
          <w:b/>
          <w:szCs w:val="24"/>
        </w:rPr>
        <w:t xml:space="preserve"> </w:t>
      </w:r>
      <w:r w:rsidR="00F83426" w:rsidRPr="00E4591D">
        <w:rPr>
          <w:rFonts w:ascii="Calibri" w:hAnsi="Calibri" w:cs="Times New Roman"/>
          <w:b/>
          <w:szCs w:val="24"/>
        </w:rPr>
        <w:t>day’s</w:t>
      </w:r>
      <w:r w:rsidR="00D72425" w:rsidRPr="00E4591D">
        <w:rPr>
          <w:rFonts w:ascii="Calibri" w:hAnsi="Calibri" w:cs="Times New Roman"/>
          <w:b/>
          <w:szCs w:val="24"/>
        </w:rPr>
        <w:t xml:space="preserve"> approval process, and the 10 </w:t>
      </w:r>
      <w:r w:rsidR="00236D2F">
        <w:rPr>
          <w:rFonts w:ascii="Calibri" w:hAnsi="Calibri" w:cs="Times New Roman"/>
          <w:b/>
          <w:szCs w:val="24"/>
        </w:rPr>
        <w:t>working</w:t>
      </w:r>
      <w:r w:rsidR="00236D2F" w:rsidRPr="00E4591D">
        <w:rPr>
          <w:rFonts w:ascii="Calibri" w:hAnsi="Calibri" w:cs="Times New Roman"/>
          <w:b/>
          <w:szCs w:val="24"/>
        </w:rPr>
        <w:t xml:space="preserve"> </w:t>
      </w:r>
      <w:r w:rsidR="00F83426" w:rsidRPr="00E4591D">
        <w:rPr>
          <w:rFonts w:ascii="Calibri" w:hAnsi="Calibri" w:cs="Times New Roman"/>
          <w:b/>
          <w:szCs w:val="24"/>
        </w:rPr>
        <w:t>day’s</w:t>
      </w:r>
      <w:r w:rsidR="00D72425" w:rsidRPr="00E4591D">
        <w:rPr>
          <w:rFonts w:ascii="Calibri" w:hAnsi="Calibri" w:cs="Times New Roman"/>
          <w:b/>
          <w:szCs w:val="24"/>
        </w:rPr>
        <w:t xml:space="preserve"> public inspection posting requirement run concurrently?</w:t>
      </w:r>
    </w:p>
    <w:p w14:paraId="5C4E7E0E" w14:textId="77777777" w:rsidR="00D37A79" w:rsidRPr="00372DE7" w:rsidRDefault="00D37A79" w:rsidP="00632DAB">
      <w:pPr>
        <w:pStyle w:val="ListParagraph"/>
        <w:spacing w:after="0" w:line="240" w:lineRule="auto"/>
        <w:ind w:left="360" w:right="90"/>
        <w:rPr>
          <w:rFonts w:ascii="Calibri" w:hAnsi="Calibri" w:cstheme="minorHAnsi"/>
          <w:b/>
        </w:rPr>
      </w:pPr>
    </w:p>
    <w:p w14:paraId="4A46C331" w14:textId="77777777" w:rsidR="00D37A79" w:rsidRPr="00372DE7" w:rsidRDefault="00D37A79" w:rsidP="00632DAB">
      <w:pPr>
        <w:pStyle w:val="ListParagraph"/>
        <w:spacing w:after="0" w:line="240" w:lineRule="auto"/>
        <w:ind w:left="360" w:right="90"/>
        <w:rPr>
          <w:rFonts w:ascii="Calibri" w:hAnsi="Calibri" w:cs="Times New Roman"/>
          <w:b/>
          <w:szCs w:val="24"/>
        </w:rPr>
      </w:pPr>
      <w:r w:rsidRPr="00372DE7">
        <w:rPr>
          <w:rFonts w:ascii="Calibri" w:hAnsi="Calibri" w:cstheme="minorHAnsi"/>
          <w:b/>
        </w:rPr>
        <w:t>Answer:</w:t>
      </w:r>
      <w:r w:rsidR="00D72425" w:rsidRPr="00372DE7">
        <w:rPr>
          <w:rFonts w:ascii="Calibri" w:hAnsi="Calibri" w:cstheme="minorHAnsi"/>
          <w:b/>
        </w:rPr>
        <w:t xml:space="preserve"> </w:t>
      </w:r>
      <w:r w:rsidR="00D72425" w:rsidRPr="00372DE7">
        <w:rPr>
          <w:rFonts w:ascii="Calibri" w:hAnsi="Calibri" w:cs="Times New Roman"/>
          <w:szCs w:val="24"/>
        </w:rPr>
        <w:t xml:space="preserve">Yes. </w:t>
      </w:r>
      <w:r w:rsidR="00D72425" w:rsidRPr="00372DE7">
        <w:rPr>
          <w:rFonts w:ascii="Calibri" w:hAnsi="Calibri" w:cs="Times New Roman"/>
          <w:b/>
          <w:szCs w:val="24"/>
        </w:rPr>
        <w:t xml:space="preserve">[FAQ published </w:t>
      </w:r>
      <w:r w:rsidR="006D7A8F" w:rsidRPr="00372DE7">
        <w:rPr>
          <w:rFonts w:ascii="Calibri" w:hAnsi="Calibri" w:cs="Times New Roman"/>
          <w:b/>
          <w:szCs w:val="24"/>
        </w:rPr>
        <w:t>2013]</w:t>
      </w:r>
    </w:p>
    <w:p w14:paraId="17BAFC0E" w14:textId="77777777" w:rsidR="00D72425" w:rsidRPr="00372DE7" w:rsidRDefault="00D72425" w:rsidP="00632DAB">
      <w:pPr>
        <w:pStyle w:val="ListParagraph"/>
        <w:spacing w:after="0" w:line="240" w:lineRule="auto"/>
        <w:ind w:left="360" w:right="90"/>
        <w:rPr>
          <w:rFonts w:ascii="Calibri" w:hAnsi="Calibri" w:cstheme="minorHAnsi"/>
          <w:b/>
        </w:rPr>
      </w:pPr>
    </w:p>
    <w:p w14:paraId="7B6462F9" w14:textId="77777777" w:rsidR="00D72425" w:rsidRPr="00372DE7" w:rsidRDefault="00D72425" w:rsidP="00632DAB">
      <w:pPr>
        <w:pStyle w:val="ListParagraph"/>
        <w:numPr>
          <w:ilvl w:val="0"/>
          <w:numId w:val="18"/>
        </w:numPr>
        <w:spacing w:after="0" w:line="240" w:lineRule="auto"/>
        <w:ind w:left="360" w:right="90"/>
        <w:rPr>
          <w:rFonts w:ascii="Calibri" w:hAnsi="Calibri" w:cstheme="minorHAnsi"/>
          <w:b/>
        </w:rPr>
      </w:pPr>
      <w:r w:rsidRPr="00372DE7">
        <w:rPr>
          <w:rFonts w:ascii="Calibri" w:hAnsi="Calibri" w:cstheme="minorHAnsi"/>
          <w:b/>
        </w:rPr>
        <w:t xml:space="preserve">Question:  </w:t>
      </w:r>
      <w:r w:rsidRPr="00E4591D">
        <w:rPr>
          <w:rFonts w:ascii="Calibri" w:hAnsi="Calibri" w:cstheme="minorHAnsi"/>
          <w:b/>
        </w:rPr>
        <w:t>Are agencies require</w:t>
      </w:r>
      <w:r w:rsidR="004424B4" w:rsidRPr="00E4591D">
        <w:rPr>
          <w:rFonts w:ascii="Calibri" w:hAnsi="Calibri" w:cstheme="minorHAnsi"/>
          <w:b/>
        </w:rPr>
        <w:t>d</w:t>
      </w:r>
      <w:r w:rsidRPr="00E4591D">
        <w:rPr>
          <w:rFonts w:ascii="Calibri" w:hAnsi="Calibri" w:cstheme="minorHAnsi"/>
          <w:b/>
        </w:rPr>
        <w:t xml:space="preserve"> to </w:t>
      </w:r>
      <w:r w:rsidR="00E4591D" w:rsidRPr="00E4591D">
        <w:rPr>
          <w:rFonts w:ascii="Calibri" w:hAnsi="Calibri" w:cstheme="minorHAnsi"/>
          <w:b/>
        </w:rPr>
        <w:t xml:space="preserve">seek sole source approval for </w:t>
      </w:r>
      <w:r w:rsidRPr="00E4591D">
        <w:rPr>
          <w:rFonts w:ascii="Calibri" w:hAnsi="Calibri" w:cstheme="minorHAnsi"/>
          <w:b/>
        </w:rPr>
        <w:t>client service contracts?</w:t>
      </w:r>
    </w:p>
    <w:p w14:paraId="5535EC02" w14:textId="77777777" w:rsidR="00D72425" w:rsidRPr="00372DE7" w:rsidRDefault="00D72425" w:rsidP="00632DAB">
      <w:pPr>
        <w:pStyle w:val="ListParagraph"/>
        <w:spacing w:after="0" w:line="240" w:lineRule="auto"/>
        <w:ind w:left="360" w:right="90"/>
        <w:rPr>
          <w:rFonts w:ascii="Calibri" w:hAnsi="Calibri" w:cstheme="minorHAnsi"/>
          <w:b/>
        </w:rPr>
      </w:pPr>
    </w:p>
    <w:p w14:paraId="10ABE4D1" w14:textId="77777777" w:rsidR="00D72425" w:rsidRPr="00372DE7" w:rsidRDefault="00D72425" w:rsidP="00632DAB">
      <w:pPr>
        <w:pStyle w:val="ListParagraph"/>
        <w:spacing w:after="0" w:line="240" w:lineRule="auto"/>
        <w:ind w:left="360" w:right="90"/>
        <w:rPr>
          <w:rFonts w:ascii="Calibri" w:hAnsi="Calibri" w:cstheme="minorHAnsi"/>
          <w:b/>
        </w:rPr>
      </w:pPr>
      <w:r w:rsidRPr="00372DE7">
        <w:rPr>
          <w:rFonts w:ascii="Calibri" w:hAnsi="Calibri" w:cstheme="minorHAnsi"/>
          <w:b/>
        </w:rPr>
        <w:t xml:space="preserve">Answer: </w:t>
      </w:r>
      <w:r w:rsidRPr="00372DE7">
        <w:rPr>
          <w:rFonts w:ascii="Calibri" w:hAnsi="Calibri" w:cs="Times New Roman"/>
          <w:szCs w:val="24"/>
        </w:rPr>
        <w:t xml:space="preserve">No. Client service contracts are exempt from competition and should not be </w:t>
      </w:r>
      <w:r w:rsidR="00E4591D">
        <w:rPr>
          <w:rFonts w:ascii="Calibri" w:hAnsi="Calibri" w:cs="Times New Roman"/>
          <w:szCs w:val="24"/>
        </w:rPr>
        <w:t>filed</w:t>
      </w:r>
      <w:r w:rsidR="00E4591D" w:rsidRPr="00372DE7">
        <w:rPr>
          <w:rFonts w:ascii="Calibri" w:hAnsi="Calibri" w:cs="Times New Roman"/>
          <w:szCs w:val="24"/>
        </w:rPr>
        <w:t xml:space="preserve"> </w:t>
      </w:r>
      <w:r w:rsidRPr="00372DE7">
        <w:rPr>
          <w:rFonts w:ascii="Calibri" w:hAnsi="Calibri" w:cs="Times New Roman"/>
          <w:szCs w:val="24"/>
        </w:rPr>
        <w:t xml:space="preserve">as sole source contracts. </w:t>
      </w:r>
      <w:r w:rsidRPr="00372DE7">
        <w:rPr>
          <w:rFonts w:ascii="Calibri" w:hAnsi="Calibri" w:cs="Times New Roman"/>
          <w:b/>
          <w:szCs w:val="24"/>
        </w:rPr>
        <w:t>[FAQ published 2013]</w:t>
      </w:r>
    </w:p>
    <w:p w14:paraId="2D75E278" w14:textId="77777777" w:rsidR="00D72425" w:rsidRPr="00372DE7" w:rsidRDefault="00D72425" w:rsidP="00632DAB">
      <w:pPr>
        <w:pStyle w:val="ListParagraph"/>
        <w:spacing w:after="0" w:line="240" w:lineRule="auto"/>
        <w:ind w:left="360" w:right="90"/>
        <w:rPr>
          <w:rFonts w:ascii="Calibri" w:hAnsi="Calibri" w:cstheme="minorHAnsi"/>
          <w:b/>
        </w:rPr>
      </w:pPr>
    </w:p>
    <w:p w14:paraId="1E7DE672" w14:textId="77777777" w:rsidR="00D72425" w:rsidRPr="00E4591D" w:rsidRDefault="00D72425" w:rsidP="00632DAB">
      <w:pPr>
        <w:pStyle w:val="ListParagraph"/>
        <w:numPr>
          <w:ilvl w:val="0"/>
          <w:numId w:val="18"/>
        </w:numPr>
        <w:spacing w:after="0" w:line="240" w:lineRule="auto"/>
        <w:ind w:left="360" w:right="90"/>
        <w:rPr>
          <w:rFonts w:ascii="Calibri" w:hAnsi="Calibri" w:cstheme="minorHAnsi"/>
        </w:rPr>
      </w:pPr>
      <w:r w:rsidRPr="00372DE7">
        <w:rPr>
          <w:rFonts w:ascii="Calibri" w:hAnsi="Calibri" w:cstheme="minorHAnsi"/>
          <w:b/>
        </w:rPr>
        <w:t xml:space="preserve">Question:  </w:t>
      </w:r>
      <w:r w:rsidRPr="00E4591D">
        <w:rPr>
          <w:rFonts w:ascii="Calibri" w:hAnsi="Calibri" w:cs="Times New Roman"/>
          <w:b/>
          <w:szCs w:val="24"/>
        </w:rPr>
        <w:t>Rather than posting on the agency website, can’t there be a central repository made available where all sole source contracts may be made available for public inspection?</w:t>
      </w:r>
    </w:p>
    <w:p w14:paraId="5EFE5683" w14:textId="77777777" w:rsidR="00D72425" w:rsidRPr="00372DE7" w:rsidRDefault="00D72425" w:rsidP="00632DAB">
      <w:pPr>
        <w:pStyle w:val="ListParagraph"/>
        <w:spacing w:after="0" w:line="240" w:lineRule="auto"/>
        <w:ind w:left="360" w:right="90"/>
        <w:rPr>
          <w:rFonts w:ascii="Calibri" w:hAnsi="Calibri" w:cstheme="minorHAnsi"/>
          <w:b/>
        </w:rPr>
      </w:pPr>
    </w:p>
    <w:p w14:paraId="5E49DB25" w14:textId="77777777" w:rsidR="00D72425" w:rsidRPr="00372DE7" w:rsidRDefault="00D72425" w:rsidP="00632DAB">
      <w:pPr>
        <w:pStyle w:val="ListParagraph"/>
        <w:spacing w:after="0" w:line="240" w:lineRule="auto"/>
        <w:ind w:left="360" w:right="90"/>
        <w:rPr>
          <w:rFonts w:ascii="Calibri" w:hAnsi="Calibri" w:cstheme="minorHAnsi"/>
          <w:b/>
        </w:rPr>
      </w:pPr>
      <w:r w:rsidRPr="00372DE7">
        <w:rPr>
          <w:rFonts w:ascii="Calibri" w:hAnsi="Calibri" w:cstheme="minorHAnsi"/>
          <w:b/>
        </w:rPr>
        <w:t xml:space="preserve">Answer: </w:t>
      </w:r>
      <w:r w:rsidRPr="00372DE7">
        <w:rPr>
          <w:rFonts w:ascii="Calibri" w:hAnsi="Calibri" w:cs="Times New Roman"/>
          <w:szCs w:val="24"/>
        </w:rPr>
        <w:t xml:space="preserve">DES will be working toward this end but for now and to meet statutory requirements, sole source contracts are to be made accessible directly from the agency. </w:t>
      </w:r>
      <w:r w:rsidRPr="00372DE7">
        <w:rPr>
          <w:rFonts w:ascii="Calibri" w:hAnsi="Calibri" w:cs="Times New Roman"/>
          <w:b/>
          <w:szCs w:val="24"/>
        </w:rPr>
        <w:t>[FAQ published 2013]</w:t>
      </w:r>
    </w:p>
    <w:p w14:paraId="5269086F" w14:textId="77777777" w:rsidR="00C2743B" w:rsidRPr="00372DE7" w:rsidRDefault="00C2743B" w:rsidP="00632DAB">
      <w:pPr>
        <w:spacing w:after="0" w:line="240" w:lineRule="auto"/>
        <w:ind w:right="90"/>
        <w:rPr>
          <w:rFonts w:ascii="Calibri" w:hAnsi="Calibri" w:cstheme="minorHAnsi"/>
          <w:b/>
        </w:rPr>
      </w:pPr>
    </w:p>
    <w:p w14:paraId="22757D0B" w14:textId="77777777" w:rsidR="00D72425" w:rsidRPr="00372DE7" w:rsidRDefault="00D72425" w:rsidP="00632DAB">
      <w:pPr>
        <w:pStyle w:val="ListParagraph"/>
        <w:numPr>
          <w:ilvl w:val="0"/>
          <w:numId w:val="18"/>
        </w:numPr>
        <w:spacing w:after="0" w:line="240" w:lineRule="auto"/>
        <w:ind w:left="360" w:right="90"/>
        <w:rPr>
          <w:rFonts w:ascii="Calibri" w:hAnsi="Calibri" w:cstheme="minorHAnsi"/>
          <w:b/>
        </w:rPr>
      </w:pPr>
      <w:r w:rsidRPr="00372DE7">
        <w:rPr>
          <w:rFonts w:ascii="Calibri" w:hAnsi="Calibri" w:cstheme="minorHAnsi"/>
          <w:b/>
        </w:rPr>
        <w:t xml:space="preserve">Question:  </w:t>
      </w:r>
      <w:r w:rsidRPr="00E4591D">
        <w:rPr>
          <w:rFonts w:ascii="Calibri" w:hAnsi="Calibri" w:cs="Times New Roman"/>
          <w:b/>
          <w:szCs w:val="24"/>
        </w:rPr>
        <w:t>When would a grant require an agency to contract with a specific vendor?</w:t>
      </w:r>
    </w:p>
    <w:p w14:paraId="104AC5FF" w14:textId="77777777" w:rsidR="00D72425" w:rsidRPr="00372DE7" w:rsidRDefault="00D72425" w:rsidP="00632DAB">
      <w:pPr>
        <w:pStyle w:val="ListParagraph"/>
        <w:spacing w:after="0" w:line="240" w:lineRule="auto"/>
        <w:ind w:left="360" w:right="90"/>
        <w:rPr>
          <w:rFonts w:ascii="Calibri" w:hAnsi="Calibri" w:cstheme="minorHAnsi"/>
          <w:b/>
        </w:rPr>
      </w:pPr>
    </w:p>
    <w:p w14:paraId="1F9A878E" w14:textId="77777777" w:rsidR="00D72425" w:rsidRPr="00372DE7" w:rsidRDefault="00D72425" w:rsidP="00632DAB">
      <w:pPr>
        <w:pStyle w:val="ListParagraph"/>
        <w:spacing w:after="0" w:line="240" w:lineRule="auto"/>
        <w:ind w:left="360" w:right="90"/>
        <w:rPr>
          <w:rFonts w:ascii="Calibri" w:hAnsi="Calibri" w:cstheme="minorHAnsi"/>
          <w:b/>
        </w:rPr>
      </w:pPr>
      <w:r w:rsidRPr="00372DE7">
        <w:rPr>
          <w:rFonts w:ascii="Calibri" w:hAnsi="Calibri" w:cstheme="minorHAnsi"/>
          <w:b/>
        </w:rPr>
        <w:t xml:space="preserve">Answer: </w:t>
      </w:r>
      <w:r w:rsidR="005943D8" w:rsidRPr="00372DE7">
        <w:rPr>
          <w:rFonts w:ascii="Calibri" w:hAnsi="Calibri" w:cs="Arial"/>
          <w:szCs w:val="21"/>
          <w:lang w:val="en"/>
        </w:rPr>
        <w:t>An agency may name a firm or individual in the written grant application to perform specific services or provide specific goods. If the approval from the funding source and receipt of funds requires the agency to contract with the named vendor, that contract is not required to be competitively awarded. It would not need to be filed with DES or require approval by DES</w:t>
      </w:r>
      <w:r w:rsidRPr="00372DE7">
        <w:rPr>
          <w:rFonts w:ascii="Calibri" w:hAnsi="Calibri" w:cs="Times New Roman"/>
          <w:szCs w:val="24"/>
        </w:rPr>
        <w:t xml:space="preserve">. </w:t>
      </w:r>
      <w:r w:rsidRPr="00372DE7">
        <w:rPr>
          <w:rFonts w:ascii="Calibri" w:hAnsi="Calibri" w:cs="Times New Roman"/>
          <w:b/>
          <w:szCs w:val="24"/>
        </w:rPr>
        <w:t>[FAQ published 2013]</w:t>
      </w:r>
    </w:p>
    <w:p w14:paraId="064F03BE" w14:textId="77777777" w:rsidR="00D72425" w:rsidRDefault="00D72425" w:rsidP="00632DAB">
      <w:pPr>
        <w:pStyle w:val="ListParagraph"/>
        <w:spacing w:after="0" w:line="240" w:lineRule="auto"/>
        <w:ind w:left="360" w:right="90"/>
        <w:rPr>
          <w:rFonts w:ascii="Calibri" w:hAnsi="Calibri" w:cstheme="minorHAnsi"/>
          <w:b/>
        </w:rPr>
      </w:pPr>
    </w:p>
    <w:p w14:paraId="79D334DC" w14:textId="77777777" w:rsidR="009811F4" w:rsidRPr="00147588" w:rsidRDefault="009811F4" w:rsidP="009811F4">
      <w:pPr>
        <w:pStyle w:val="NoSpacing"/>
        <w:numPr>
          <w:ilvl w:val="0"/>
          <w:numId w:val="18"/>
        </w:numPr>
        <w:ind w:left="360" w:right="90"/>
        <w:rPr>
          <w:rFonts w:ascii="Calibri" w:hAnsi="Calibri" w:cstheme="minorHAnsi"/>
          <w:b/>
          <w:sz w:val="22"/>
          <w:szCs w:val="22"/>
        </w:rPr>
      </w:pPr>
      <w:r w:rsidRPr="00147588">
        <w:rPr>
          <w:rFonts w:ascii="Calibri" w:hAnsi="Calibri" w:cstheme="minorHAnsi"/>
          <w:b/>
          <w:sz w:val="22"/>
          <w:szCs w:val="22"/>
        </w:rPr>
        <w:t>Question:  Should the sole source contract approval process be used for urgent/crucial procurements?</w:t>
      </w:r>
    </w:p>
    <w:p w14:paraId="369FD5FB" w14:textId="77777777" w:rsidR="009811F4" w:rsidRPr="00147588" w:rsidRDefault="009811F4" w:rsidP="009811F4">
      <w:pPr>
        <w:spacing w:after="0" w:line="240" w:lineRule="auto"/>
        <w:ind w:right="90"/>
        <w:rPr>
          <w:rFonts w:ascii="Calibri" w:hAnsi="Calibri" w:cstheme="minorHAnsi"/>
          <w:b/>
        </w:rPr>
      </w:pPr>
    </w:p>
    <w:p w14:paraId="2CE0D3FA" w14:textId="77777777" w:rsidR="009811F4" w:rsidRPr="00147588" w:rsidRDefault="009811F4" w:rsidP="009811F4">
      <w:pPr>
        <w:spacing w:after="0" w:line="240" w:lineRule="auto"/>
        <w:ind w:left="360" w:right="90"/>
        <w:rPr>
          <w:rFonts w:cstheme="minorHAnsi"/>
          <w:b/>
        </w:rPr>
      </w:pPr>
      <w:r w:rsidRPr="00147588">
        <w:rPr>
          <w:rFonts w:ascii="Calibri" w:hAnsi="Calibri" w:cstheme="minorHAnsi"/>
          <w:b/>
        </w:rPr>
        <w:t>Answer</w:t>
      </w:r>
      <w:r w:rsidRPr="00147588">
        <w:rPr>
          <w:rFonts w:cstheme="minorHAnsi"/>
          <w:b/>
        </w:rPr>
        <w:t xml:space="preserve">:  </w:t>
      </w:r>
      <w:r w:rsidRPr="005E7F55">
        <w:rPr>
          <w:rFonts w:ascii="Calibri" w:hAnsi="Calibri" w:cs="Arial"/>
          <w:szCs w:val="21"/>
          <w:lang w:val="en"/>
        </w:rPr>
        <w:t>No. DES will only approve procurements that legitimately qualify as a sole source contract. Alternatively and if no related master contract exists, see</w:t>
      </w:r>
      <w:r w:rsidRPr="00147588">
        <w:rPr>
          <w:rFonts w:cstheme="minorHAnsi"/>
          <w:color w:val="666666"/>
          <w:lang w:val="en"/>
        </w:rPr>
        <w:t xml:space="preserve"> </w:t>
      </w:r>
      <w:hyperlink r:id="rId10" w:tgtFrame="_blank" w:history="1">
        <w:r w:rsidRPr="00147588">
          <w:rPr>
            <w:rStyle w:val="Hyperlink"/>
            <w:rFonts w:cstheme="minorHAnsi"/>
            <w:lang w:val="en"/>
          </w:rPr>
          <w:t>Direct Buy Policy</w:t>
        </w:r>
      </w:hyperlink>
      <w:r w:rsidRPr="00147588">
        <w:rPr>
          <w:rFonts w:cstheme="minorHAnsi"/>
          <w:color w:val="666666"/>
          <w:lang w:val="en"/>
        </w:rPr>
        <w:t xml:space="preserve">, </w:t>
      </w:r>
      <w:hyperlink r:id="rId11" w:tgtFrame="_blank" w:history="1">
        <w:r w:rsidRPr="00147588">
          <w:rPr>
            <w:rStyle w:val="Hyperlink"/>
            <w:rFonts w:cstheme="minorHAnsi"/>
            <w:lang w:val="en"/>
          </w:rPr>
          <w:t>Emergency Procurement/Purchase Policy</w:t>
        </w:r>
      </w:hyperlink>
      <w:r w:rsidRPr="00147588">
        <w:rPr>
          <w:rFonts w:cstheme="minorHAnsi"/>
          <w:color w:val="666666"/>
          <w:lang w:val="en"/>
        </w:rPr>
        <w:t xml:space="preserve"> </w:t>
      </w:r>
      <w:r w:rsidRPr="005E7F55">
        <w:rPr>
          <w:rFonts w:ascii="Calibri" w:hAnsi="Calibri" w:cs="Arial"/>
          <w:szCs w:val="21"/>
          <w:lang w:val="en"/>
        </w:rPr>
        <w:t>or RCW</w:t>
      </w:r>
      <w:r w:rsidRPr="00147588">
        <w:rPr>
          <w:rFonts w:cstheme="minorHAnsi"/>
          <w:color w:val="666666"/>
          <w:lang w:val="en"/>
        </w:rPr>
        <w:t xml:space="preserve"> </w:t>
      </w:r>
      <w:hyperlink r:id="rId12" w:tgtFrame="_blank" w:history="1">
        <w:r w:rsidRPr="00147588">
          <w:rPr>
            <w:rStyle w:val="Hyperlink"/>
            <w:rFonts w:cstheme="minorHAnsi"/>
            <w:lang w:val="en"/>
          </w:rPr>
          <w:t>39.26.125(4)</w:t>
        </w:r>
      </w:hyperlink>
      <w:r w:rsidRPr="00147588">
        <w:rPr>
          <w:rFonts w:cstheme="minorHAnsi"/>
          <w:color w:val="666666"/>
          <w:lang w:val="en"/>
        </w:rPr>
        <w:t>.</w:t>
      </w:r>
    </w:p>
    <w:p w14:paraId="74F1C303" w14:textId="77777777" w:rsidR="009811F4" w:rsidRDefault="009811F4" w:rsidP="009811F4">
      <w:pPr>
        <w:pStyle w:val="ListParagraph"/>
        <w:spacing w:after="0" w:line="240" w:lineRule="auto"/>
        <w:ind w:left="360" w:right="90"/>
        <w:rPr>
          <w:rFonts w:ascii="Calibri" w:hAnsi="Calibri" w:cstheme="minorHAnsi"/>
          <w:b/>
        </w:rPr>
      </w:pPr>
    </w:p>
    <w:p w14:paraId="204F497F" w14:textId="5CEC6BD5" w:rsidR="00800627" w:rsidRPr="00372DE7" w:rsidRDefault="00800627" w:rsidP="00800627">
      <w:pPr>
        <w:pStyle w:val="ListParagraph"/>
        <w:numPr>
          <w:ilvl w:val="0"/>
          <w:numId w:val="18"/>
        </w:numPr>
        <w:spacing w:after="0" w:line="240" w:lineRule="auto"/>
        <w:ind w:left="360" w:right="90"/>
        <w:rPr>
          <w:rFonts w:ascii="Calibri" w:hAnsi="Calibri" w:cstheme="minorHAnsi"/>
          <w:b/>
        </w:rPr>
      </w:pPr>
      <w:r w:rsidRPr="00372DE7">
        <w:rPr>
          <w:rFonts w:ascii="Calibri" w:hAnsi="Calibri" w:cstheme="minorHAnsi"/>
          <w:b/>
        </w:rPr>
        <w:t>Question:  What types of instruments can be considered sole source contracts?</w:t>
      </w:r>
    </w:p>
    <w:p w14:paraId="1CC34CD4" w14:textId="77777777" w:rsidR="00800627" w:rsidRPr="00372DE7" w:rsidRDefault="00800627" w:rsidP="00800627">
      <w:pPr>
        <w:pStyle w:val="ListParagraph"/>
        <w:spacing w:after="0" w:line="240" w:lineRule="auto"/>
        <w:ind w:left="360" w:right="90"/>
        <w:rPr>
          <w:rFonts w:ascii="Calibri" w:hAnsi="Calibri" w:cstheme="minorHAnsi"/>
          <w:b/>
        </w:rPr>
      </w:pPr>
    </w:p>
    <w:p w14:paraId="0B6723A1" w14:textId="77777777" w:rsidR="00800627" w:rsidRDefault="00800627" w:rsidP="00800627">
      <w:pPr>
        <w:pStyle w:val="ListParagraph"/>
        <w:spacing w:after="0" w:line="240" w:lineRule="auto"/>
        <w:ind w:left="360" w:right="90"/>
        <w:rPr>
          <w:rFonts w:ascii="Calibri" w:hAnsi="Calibri" w:cstheme="minorHAnsi"/>
        </w:rPr>
      </w:pPr>
      <w:r w:rsidRPr="00372DE7">
        <w:rPr>
          <w:rFonts w:ascii="Calibri" w:hAnsi="Calibri" w:cstheme="minorHAnsi"/>
          <w:b/>
        </w:rPr>
        <w:t xml:space="preserve">Answer: </w:t>
      </w:r>
      <w:r w:rsidRPr="00372DE7">
        <w:rPr>
          <w:rFonts w:ascii="Calibri" w:hAnsi="Calibri" w:cstheme="minorHAnsi"/>
        </w:rPr>
        <w:t>“Sole source contract” refers to a category of instruments used for sole source acquisitions.  It can be in the form of a contract, purchase order, field order, etc.   This definition has been added to the DES Procurement Policy Glossary Supplement. [</w:t>
      </w:r>
      <w:r w:rsidRPr="00B43AEE">
        <w:rPr>
          <w:rFonts w:ascii="Calibri" w:hAnsi="Calibri" w:cstheme="minorHAnsi"/>
          <w:i/>
        </w:rPr>
        <w:t>INSERT PUBLISH DATE</w:t>
      </w:r>
      <w:r w:rsidRPr="00372DE7">
        <w:rPr>
          <w:rFonts w:ascii="Calibri" w:hAnsi="Calibri" w:cstheme="minorHAnsi"/>
        </w:rPr>
        <w:t>]</w:t>
      </w:r>
    </w:p>
    <w:p w14:paraId="0ECE9D53" w14:textId="77777777" w:rsidR="00E4591D" w:rsidRPr="00372DE7" w:rsidRDefault="00E4591D" w:rsidP="00800627">
      <w:pPr>
        <w:pStyle w:val="ListParagraph"/>
        <w:spacing w:after="0" w:line="240" w:lineRule="auto"/>
        <w:ind w:left="360" w:right="90"/>
        <w:rPr>
          <w:rFonts w:ascii="Calibri" w:hAnsi="Calibri" w:cstheme="minorHAnsi"/>
          <w:b/>
        </w:rPr>
      </w:pPr>
    </w:p>
    <w:p w14:paraId="277637B8" w14:textId="77777777" w:rsidR="00800627" w:rsidRPr="00372DE7" w:rsidRDefault="00800627" w:rsidP="00800627">
      <w:pPr>
        <w:pStyle w:val="ListParagraph"/>
        <w:numPr>
          <w:ilvl w:val="0"/>
          <w:numId w:val="18"/>
        </w:numPr>
        <w:spacing w:after="0" w:line="240" w:lineRule="auto"/>
        <w:ind w:left="360" w:right="90"/>
        <w:rPr>
          <w:rFonts w:ascii="Calibri" w:hAnsi="Calibri" w:cstheme="minorHAnsi"/>
          <w:b/>
        </w:rPr>
      </w:pPr>
      <w:r w:rsidRPr="00372DE7">
        <w:rPr>
          <w:rFonts w:ascii="Calibri" w:hAnsi="Calibri" w:cstheme="minorHAnsi"/>
          <w:b/>
        </w:rPr>
        <w:t>Question:  Why is there an agency requirement to make a proposed sole source contract available at least ten working days before the contract start date in addition to the WEBS posting requirement?</w:t>
      </w:r>
    </w:p>
    <w:p w14:paraId="7D445B04" w14:textId="77777777" w:rsidR="00800627" w:rsidRPr="00372DE7" w:rsidRDefault="00800627" w:rsidP="00800627">
      <w:pPr>
        <w:pStyle w:val="ListParagraph"/>
        <w:spacing w:after="0" w:line="240" w:lineRule="auto"/>
        <w:ind w:left="360" w:right="90"/>
        <w:rPr>
          <w:rFonts w:ascii="Calibri" w:hAnsi="Calibri" w:cstheme="minorHAnsi"/>
          <w:b/>
        </w:rPr>
      </w:pPr>
    </w:p>
    <w:p w14:paraId="4264AC1A" w14:textId="77777777" w:rsidR="00800627" w:rsidRPr="00372DE7" w:rsidRDefault="00800627" w:rsidP="00800627">
      <w:pPr>
        <w:pStyle w:val="ListParagraph"/>
        <w:spacing w:after="0" w:line="240" w:lineRule="auto"/>
        <w:ind w:left="360" w:right="90"/>
        <w:rPr>
          <w:rFonts w:ascii="Calibri" w:hAnsi="Calibri" w:cstheme="minorHAnsi"/>
        </w:rPr>
      </w:pPr>
      <w:r w:rsidRPr="00372DE7">
        <w:rPr>
          <w:rFonts w:ascii="Calibri" w:hAnsi="Calibri" w:cstheme="minorHAnsi"/>
          <w:b/>
        </w:rPr>
        <w:t xml:space="preserve">Answer: </w:t>
      </w:r>
      <w:r w:rsidRPr="00372DE7">
        <w:rPr>
          <w:rFonts w:ascii="Calibri" w:hAnsi="Calibri" w:cstheme="minorHAnsi"/>
        </w:rPr>
        <w:t xml:space="preserve">The requirement provides transparency to the </w:t>
      </w:r>
      <w:r w:rsidR="00B2626C">
        <w:rPr>
          <w:rFonts w:ascii="Calibri" w:hAnsi="Calibri" w:cstheme="minorHAnsi"/>
        </w:rPr>
        <w:t>public</w:t>
      </w:r>
      <w:r w:rsidRPr="00372DE7">
        <w:rPr>
          <w:rFonts w:ascii="Calibri" w:hAnsi="Calibri" w:cstheme="minorHAnsi"/>
        </w:rPr>
        <w:t xml:space="preserve"> and is designed to </w:t>
      </w:r>
      <w:r w:rsidR="00B2626C">
        <w:rPr>
          <w:rFonts w:ascii="Calibri" w:hAnsi="Calibri" w:cstheme="minorHAnsi"/>
        </w:rPr>
        <w:t xml:space="preserve">also </w:t>
      </w:r>
      <w:r w:rsidRPr="00372DE7">
        <w:rPr>
          <w:rFonts w:ascii="Calibri" w:hAnsi="Calibri" w:cstheme="minorHAnsi"/>
        </w:rPr>
        <w:t xml:space="preserve">give notice to vendors that are not registered in WEBS. In addition, this notice requirement gives vendors the opportunity to demonstrate that </w:t>
      </w:r>
      <w:r w:rsidR="00B2626C">
        <w:rPr>
          <w:rFonts w:ascii="Calibri" w:hAnsi="Calibri" w:cstheme="minorHAnsi"/>
        </w:rPr>
        <w:t>they are capable of providing the goods or services.</w:t>
      </w:r>
      <w:r w:rsidR="00DB6191">
        <w:rPr>
          <w:rFonts w:ascii="Calibri" w:hAnsi="Calibri" w:cstheme="minorHAnsi"/>
        </w:rPr>
        <w:t xml:space="preserve"> </w:t>
      </w:r>
      <w:r w:rsidRPr="00372DE7">
        <w:rPr>
          <w:rFonts w:ascii="Calibri" w:hAnsi="Calibri" w:cstheme="minorHAnsi"/>
        </w:rPr>
        <w:t xml:space="preserve"> [</w:t>
      </w:r>
      <w:r w:rsidRPr="00B43AEE">
        <w:rPr>
          <w:rFonts w:ascii="Calibri" w:hAnsi="Calibri" w:cstheme="minorHAnsi"/>
          <w:i/>
        </w:rPr>
        <w:t>INSERT PUBLISH DATE</w:t>
      </w:r>
      <w:r w:rsidRPr="00372DE7">
        <w:rPr>
          <w:rFonts w:ascii="Calibri" w:hAnsi="Calibri" w:cstheme="minorHAnsi"/>
        </w:rPr>
        <w:t xml:space="preserve">] </w:t>
      </w:r>
    </w:p>
    <w:p w14:paraId="2B2B40D5" w14:textId="77777777" w:rsidR="00800627" w:rsidRPr="00372DE7" w:rsidRDefault="00800627" w:rsidP="00800627">
      <w:pPr>
        <w:pStyle w:val="ListParagraph"/>
        <w:spacing w:after="0" w:line="240" w:lineRule="auto"/>
        <w:ind w:left="360" w:right="90"/>
        <w:rPr>
          <w:rFonts w:ascii="Calibri" w:hAnsi="Calibri" w:cstheme="minorHAnsi"/>
        </w:rPr>
      </w:pPr>
    </w:p>
    <w:p w14:paraId="3562E79F" w14:textId="77777777" w:rsidR="00800627" w:rsidRPr="00372DE7" w:rsidRDefault="00800627" w:rsidP="00800627">
      <w:pPr>
        <w:pStyle w:val="ListParagraph"/>
        <w:numPr>
          <w:ilvl w:val="0"/>
          <w:numId w:val="18"/>
        </w:numPr>
        <w:spacing w:after="0" w:line="240" w:lineRule="auto"/>
        <w:ind w:left="360" w:right="90"/>
        <w:rPr>
          <w:rFonts w:ascii="Calibri" w:hAnsi="Calibri" w:cstheme="minorHAnsi"/>
          <w:b/>
        </w:rPr>
      </w:pPr>
      <w:r w:rsidRPr="00372DE7">
        <w:rPr>
          <w:rFonts w:ascii="Calibri" w:hAnsi="Calibri" w:cstheme="minorHAnsi"/>
          <w:b/>
        </w:rPr>
        <w:t>Question:  In addition to posting a proposed sole source contract in WEBS, is there a preferred method for making such contracts available for public inspection within the agency?</w:t>
      </w:r>
    </w:p>
    <w:p w14:paraId="2E5C9A1A" w14:textId="77777777" w:rsidR="00800627" w:rsidRPr="00372DE7" w:rsidRDefault="00800627" w:rsidP="00800627">
      <w:pPr>
        <w:pStyle w:val="ListParagraph"/>
        <w:spacing w:after="0" w:line="240" w:lineRule="auto"/>
        <w:ind w:left="360" w:right="90"/>
        <w:rPr>
          <w:rFonts w:ascii="Calibri" w:hAnsi="Calibri" w:cstheme="minorHAnsi"/>
          <w:b/>
        </w:rPr>
      </w:pPr>
    </w:p>
    <w:p w14:paraId="31909B08" w14:textId="77777777" w:rsidR="00800627" w:rsidRDefault="00800627" w:rsidP="00800627">
      <w:pPr>
        <w:pStyle w:val="ListParagraph"/>
        <w:spacing w:after="0" w:line="240" w:lineRule="auto"/>
        <w:ind w:left="360" w:right="90"/>
        <w:rPr>
          <w:rFonts w:ascii="Calibri" w:hAnsi="Calibri" w:cstheme="minorHAnsi"/>
        </w:rPr>
      </w:pPr>
      <w:r w:rsidRPr="00372DE7">
        <w:rPr>
          <w:rFonts w:ascii="Calibri" w:hAnsi="Calibri" w:cstheme="minorHAnsi"/>
          <w:b/>
        </w:rPr>
        <w:t xml:space="preserve">Answer: </w:t>
      </w:r>
      <w:r w:rsidRPr="00372DE7">
        <w:rPr>
          <w:rFonts w:ascii="Calibri" w:hAnsi="Calibri" w:cstheme="minorHAnsi"/>
        </w:rPr>
        <w:t>No.</w:t>
      </w:r>
      <w:r w:rsidRPr="00372DE7">
        <w:rPr>
          <w:rFonts w:ascii="Calibri" w:hAnsi="Calibri" w:cstheme="minorHAnsi"/>
          <w:b/>
        </w:rPr>
        <w:t xml:space="preserve"> </w:t>
      </w:r>
      <w:r w:rsidRPr="00372DE7">
        <w:rPr>
          <w:rFonts w:ascii="Calibri" w:hAnsi="Calibri" w:cstheme="minorHAnsi"/>
        </w:rPr>
        <w:t>Agencies are free to determine the manner in which they will make proposed contracts available for public inspection (e.g. via a location on the agency web site, through paper copies available at the agency headquarters, etc.). [</w:t>
      </w:r>
      <w:r w:rsidRPr="00B43AEE">
        <w:rPr>
          <w:rFonts w:ascii="Calibri" w:hAnsi="Calibri" w:cstheme="minorHAnsi"/>
          <w:i/>
        </w:rPr>
        <w:t>INSERT PUBLISH DATE</w:t>
      </w:r>
      <w:r w:rsidRPr="00372DE7">
        <w:rPr>
          <w:rFonts w:ascii="Calibri" w:hAnsi="Calibri" w:cstheme="minorHAnsi"/>
        </w:rPr>
        <w:t xml:space="preserve">] </w:t>
      </w:r>
    </w:p>
    <w:p w14:paraId="1398559B" w14:textId="77777777" w:rsidR="005F1957" w:rsidRDefault="005F1957" w:rsidP="00800627">
      <w:pPr>
        <w:pStyle w:val="ListParagraph"/>
        <w:spacing w:after="0" w:line="240" w:lineRule="auto"/>
        <w:ind w:left="360" w:right="90"/>
        <w:rPr>
          <w:rFonts w:ascii="Calibri" w:hAnsi="Calibri" w:cstheme="minorHAnsi"/>
        </w:rPr>
      </w:pPr>
    </w:p>
    <w:p w14:paraId="5618CAAA" w14:textId="77777777" w:rsidR="005F1957" w:rsidRPr="00240C57" w:rsidRDefault="005F1957" w:rsidP="00240C57">
      <w:pPr>
        <w:pStyle w:val="ListParagraph"/>
        <w:numPr>
          <w:ilvl w:val="0"/>
          <w:numId w:val="18"/>
        </w:numPr>
        <w:spacing w:after="0" w:line="240" w:lineRule="auto"/>
        <w:ind w:left="360" w:right="90"/>
        <w:rPr>
          <w:rFonts w:ascii="Calibri" w:hAnsi="Calibri" w:cstheme="minorHAnsi"/>
        </w:rPr>
      </w:pPr>
      <w:r w:rsidRPr="00240C57">
        <w:rPr>
          <w:rFonts w:ascii="Calibri" w:hAnsi="Calibri" w:cstheme="minorHAnsi"/>
          <w:b/>
        </w:rPr>
        <w:t>Question</w:t>
      </w:r>
      <w:r w:rsidRPr="00491888">
        <w:rPr>
          <w:rFonts w:ascii="Calibri" w:hAnsi="Calibri" w:cstheme="minorHAnsi"/>
          <w:b/>
        </w:rPr>
        <w:t>:  Can I just post the sole source to WEBS to satisfy the public inspection requirement as well?</w:t>
      </w:r>
    </w:p>
    <w:p w14:paraId="1023ADCF" w14:textId="77777777" w:rsidR="005F1957" w:rsidRDefault="005F1957" w:rsidP="00240C57">
      <w:pPr>
        <w:spacing w:after="0" w:line="240" w:lineRule="auto"/>
        <w:ind w:right="90"/>
        <w:rPr>
          <w:rFonts w:ascii="Calibri" w:hAnsi="Calibri" w:cstheme="minorHAnsi"/>
        </w:rPr>
      </w:pPr>
    </w:p>
    <w:p w14:paraId="43CF8DB4" w14:textId="6DA6E205" w:rsidR="005F1957" w:rsidRPr="00240C57" w:rsidRDefault="005F1957" w:rsidP="00240C57">
      <w:pPr>
        <w:spacing w:after="0" w:line="240" w:lineRule="auto"/>
        <w:ind w:left="360" w:right="90"/>
        <w:rPr>
          <w:rFonts w:ascii="Calibri" w:hAnsi="Calibri" w:cstheme="minorHAnsi"/>
        </w:rPr>
      </w:pPr>
      <w:r w:rsidRPr="00240C57">
        <w:rPr>
          <w:rFonts w:ascii="Calibri" w:hAnsi="Calibri" w:cstheme="minorHAnsi"/>
          <w:b/>
        </w:rPr>
        <w:t>Answer:</w:t>
      </w:r>
      <w:r>
        <w:rPr>
          <w:rFonts w:ascii="Calibri" w:hAnsi="Calibri" w:cstheme="minorHAnsi"/>
        </w:rPr>
        <w:t xml:space="preserve">  No, as WEBS is not available to the public as it requires registration and is intended for the vendor community.  </w:t>
      </w:r>
      <w:r w:rsidR="001E0F59">
        <w:rPr>
          <w:rFonts w:ascii="Calibri" w:hAnsi="Calibri" w:cstheme="minorHAnsi"/>
        </w:rPr>
        <w:t xml:space="preserve">Posting to the Agency’s website </w:t>
      </w:r>
      <w:r w:rsidR="00240C57">
        <w:rPr>
          <w:rFonts w:ascii="Calibri" w:hAnsi="Calibri" w:cstheme="minorHAnsi"/>
        </w:rPr>
        <w:t>provides</w:t>
      </w:r>
      <w:r>
        <w:rPr>
          <w:rFonts w:ascii="Calibri" w:hAnsi="Calibri" w:cstheme="minorHAnsi"/>
        </w:rPr>
        <w:t xml:space="preserve"> transparency </w:t>
      </w:r>
      <w:r w:rsidR="00240C57">
        <w:rPr>
          <w:rFonts w:ascii="Calibri" w:hAnsi="Calibri" w:cstheme="minorHAnsi"/>
        </w:rPr>
        <w:t xml:space="preserve">to the general public and is designed to also give notice to vendors that are not registered in WEBS. </w:t>
      </w:r>
      <w:r w:rsidR="00240C57" w:rsidRPr="00372DE7">
        <w:rPr>
          <w:rFonts w:ascii="Calibri" w:hAnsi="Calibri" w:cstheme="minorHAnsi"/>
        </w:rPr>
        <w:t>[</w:t>
      </w:r>
      <w:r w:rsidR="00240C57" w:rsidRPr="00B43AEE">
        <w:rPr>
          <w:rFonts w:ascii="Calibri" w:hAnsi="Calibri" w:cstheme="minorHAnsi"/>
          <w:i/>
        </w:rPr>
        <w:t>INSERT PUBLISH DATE</w:t>
      </w:r>
      <w:r w:rsidR="00240C57" w:rsidRPr="00372DE7">
        <w:rPr>
          <w:rFonts w:ascii="Calibri" w:hAnsi="Calibri" w:cstheme="minorHAnsi"/>
        </w:rPr>
        <w:t>]</w:t>
      </w:r>
    </w:p>
    <w:p w14:paraId="0C7C1261" w14:textId="77777777" w:rsidR="00800627" w:rsidRPr="00372DE7" w:rsidRDefault="00800627" w:rsidP="00800627">
      <w:pPr>
        <w:pStyle w:val="ListParagraph"/>
        <w:spacing w:after="0" w:line="240" w:lineRule="auto"/>
        <w:ind w:left="360" w:right="90"/>
        <w:rPr>
          <w:rFonts w:ascii="Calibri" w:hAnsi="Calibri" w:cstheme="minorHAnsi"/>
        </w:rPr>
      </w:pPr>
    </w:p>
    <w:p w14:paraId="0ED9BA81" w14:textId="77777777" w:rsidR="00800627" w:rsidRPr="00372DE7" w:rsidRDefault="00800627" w:rsidP="00800627">
      <w:pPr>
        <w:pStyle w:val="ListParagraph"/>
        <w:numPr>
          <w:ilvl w:val="0"/>
          <w:numId w:val="18"/>
        </w:numPr>
        <w:spacing w:after="0" w:line="240" w:lineRule="auto"/>
        <w:ind w:left="360" w:right="90"/>
        <w:rPr>
          <w:rFonts w:ascii="Calibri" w:hAnsi="Calibri" w:cstheme="minorHAnsi"/>
          <w:b/>
        </w:rPr>
      </w:pPr>
      <w:r w:rsidRPr="00372DE7">
        <w:rPr>
          <w:rFonts w:ascii="Calibri" w:hAnsi="Calibri" w:cstheme="minorHAnsi"/>
          <w:b/>
        </w:rPr>
        <w:t>Question:</w:t>
      </w:r>
      <w:r w:rsidRPr="00372DE7">
        <w:rPr>
          <w:rFonts w:ascii="Calibri" w:hAnsi="Calibri" w:cstheme="minorHAnsi"/>
        </w:rPr>
        <w:t xml:space="preserve">  </w:t>
      </w:r>
      <w:r w:rsidRPr="00372DE7">
        <w:rPr>
          <w:rFonts w:ascii="Calibri" w:hAnsi="Calibri" w:cstheme="minorHAnsi"/>
          <w:b/>
        </w:rPr>
        <w:t>Is there a recordkeeping best practice regarding the public notice requirement?</w:t>
      </w:r>
    </w:p>
    <w:p w14:paraId="51D4A13B" w14:textId="77777777" w:rsidR="00800627" w:rsidRPr="00372DE7" w:rsidRDefault="00800627" w:rsidP="00800627">
      <w:pPr>
        <w:pStyle w:val="ListParagraph"/>
        <w:spacing w:after="0" w:line="240" w:lineRule="auto"/>
        <w:ind w:left="360" w:right="90"/>
        <w:rPr>
          <w:rFonts w:ascii="Calibri" w:hAnsi="Calibri" w:cstheme="minorHAnsi"/>
        </w:rPr>
      </w:pPr>
    </w:p>
    <w:p w14:paraId="653A4161" w14:textId="77777777" w:rsidR="00800627" w:rsidRPr="00372DE7" w:rsidRDefault="00800627" w:rsidP="00800627">
      <w:pPr>
        <w:pStyle w:val="TableParagraph"/>
        <w:ind w:left="360" w:right="90"/>
        <w:rPr>
          <w:rFonts w:ascii="Calibri" w:eastAsia="Times New Roman" w:hAnsi="Calibri" w:cs="Times New Roman"/>
          <w:szCs w:val="24"/>
        </w:rPr>
      </w:pPr>
      <w:r w:rsidRPr="00372DE7">
        <w:rPr>
          <w:rFonts w:ascii="Calibri" w:hAnsi="Calibri" w:cstheme="minorHAnsi"/>
          <w:b/>
        </w:rPr>
        <w:t>Answer:</w:t>
      </w:r>
      <w:r w:rsidRPr="00372DE7">
        <w:rPr>
          <w:rFonts w:ascii="Calibri" w:hAnsi="Calibri" w:cstheme="minorHAnsi"/>
        </w:rPr>
        <w:t xml:space="preserve"> </w:t>
      </w:r>
      <w:r w:rsidRPr="00372DE7">
        <w:rPr>
          <w:rFonts w:ascii="Calibri" w:hAnsi="Calibri"/>
        </w:rPr>
        <w:t xml:space="preserve">For audit purposes, agencies are encouraged to include in their contract file evidence (e.g. a screen shot print out of a webpage) that the 10 </w:t>
      </w:r>
      <w:r w:rsidR="00236D2F">
        <w:rPr>
          <w:rFonts w:ascii="Calibri" w:hAnsi="Calibri"/>
        </w:rPr>
        <w:t>working</w:t>
      </w:r>
      <w:r w:rsidR="00236D2F" w:rsidRPr="00372DE7">
        <w:rPr>
          <w:rFonts w:ascii="Calibri" w:hAnsi="Calibri"/>
        </w:rPr>
        <w:t xml:space="preserve"> </w:t>
      </w:r>
      <w:r w:rsidRPr="00372DE7">
        <w:rPr>
          <w:rFonts w:ascii="Calibri" w:hAnsi="Calibri"/>
        </w:rPr>
        <w:t>day posting requirement has been met.</w:t>
      </w:r>
      <w:r>
        <w:rPr>
          <w:rFonts w:ascii="Calibri" w:hAnsi="Calibri"/>
        </w:rPr>
        <w:t xml:space="preserve"> </w:t>
      </w:r>
      <w:r w:rsidRPr="00372DE7">
        <w:rPr>
          <w:rFonts w:ascii="Calibri" w:hAnsi="Calibri" w:cstheme="minorHAnsi"/>
        </w:rPr>
        <w:t>[</w:t>
      </w:r>
      <w:r w:rsidRPr="00B43AEE">
        <w:rPr>
          <w:rFonts w:ascii="Calibri" w:hAnsi="Calibri" w:cstheme="minorHAnsi"/>
          <w:i/>
        </w:rPr>
        <w:t>INSERT PUBLISH DATE</w:t>
      </w:r>
      <w:r w:rsidRPr="00372DE7">
        <w:rPr>
          <w:rFonts w:ascii="Calibri" w:hAnsi="Calibri" w:cstheme="minorHAnsi"/>
        </w:rPr>
        <w:t>]</w:t>
      </w:r>
    </w:p>
    <w:p w14:paraId="06EB0421" w14:textId="77777777" w:rsidR="00800627" w:rsidRPr="00372DE7" w:rsidRDefault="00800627" w:rsidP="00800627">
      <w:pPr>
        <w:pStyle w:val="ListParagraph"/>
        <w:spacing w:after="0" w:line="240" w:lineRule="auto"/>
        <w:ind w:left="360" w:right="90"/>
        <w:rPr>
          <w:rFonts w:ascii="Calibri" w:hAnsi="Calibri" w:cstheme="minorHAnsi"/>
        </w:rPr>
      </w:pPr>
    </w:p>
    <w:p w14:paraId="010A09F5" w14:textId="77777777" w:rsidR="00800627" w:rsidRPr="00372DE7" w:rsidRDefault="00800627" w:rsidP="00800627">
      <w:pPr>
        <w:pStyle w:val="ListParagraph"/>
        <w:numPr>
          <w:ilvl w:val="0"/>
          <w:numId w:val="18"/>
        </w:numPr>
        <w:spacing w:after="0" w:line="240" w:lineRule="auto"/>
        <w:ind w:left="360" w:right="90"/>
        <w:rPr>
          <w:rFonts w:ascii="Calibri" w:hAnsi="Calibri" w:cstheme="minorHAnsi"/>
          <w:b/>
        </w:rPr>
      </w:pPr>
      <w:r w:rsidRPr="00372DE7">
        <w:rPr>
          <w:rFonts w:ascii="Calibri" w:hAnsi="Calibri" w:cstheme="minorHAnsi"/>
          <w:b/>
        </w:rPr>
        <w:t>Question:</w:t>
      </w:r>
      <w:r w:rsidRPr="00372DE7">
        <w:rPr>
          <w:rFonts w:ascii="Calibri" w:hAnsi="Calibri" w:cstheme="minorHAnsi"/>
        </w:rPr>
        <w:t xml:space="preserve">  </w:t>
      </w:r>
      <w:r w:rsidRPr="00372DE7">
        <w:rPr>
          <w:rFonts w:ascii="Calibri" w:hAnsi="Calibri" w:cstheme="minorHAnsi"/>
          <w:b/>
        </w:rPr>
        <w:t>Is there a best practice for avoiding possible sole source review delays?</w:t>
      </w:r>
    </w:p>
    <w:p w14:paraId="792CB6AB" w14:textId="77777777" w:rsidR="00800627" w:rsidRPr="00372DE7" w:rsidRDefault="00800627" w:rsidP="00800627">
      <w:pPr>
        <w:pStyle w:val="ListParagraph"/>
        <w:spacing w:after="0" w:line="240" w:lineRule="auto"/>
        <w:ind w:left="360" w:right="90"/>
        <w:rPr>
          <w:rFonts w:ascii="Calibri" w:hAnsi="Calibri" w:cstheme="minorHAnsi"/>
          <w:b/>
        </w:rPr>
      </w:pPr>
    </w:p>
    <w:p w14:paraId="4368C6F1" w14:textId="18BABCDC" w:rsidR="00800627" w:rsidRPr="00372DE7" w:rsidRDefault="00800627" w:rsidP="00800627">
      <w:pPr>
        <w:pStyle w:val="ListParagraph"/>
        <w:spacing w:after="0" w:line="240" w:lineRule="auto"/>
        <w:ind w:left="360" w:right="90"/>
        <w:rPr>
          <w:rFonts w:ascii="Calibri" w:hAnsi="Calibri"/>
        </w:rPr>
      </w:pPr>
      <w:r w:rsidRPr="00372DE7">
        <w:rPr>
          <w:rFonts w:ascii="Calibri" w:hAnsi="Calibri" w:cstheme="minorHAnsi"/>
          <w:b/>
        </w:rPr>
        <w:t>Answer:</w:t>
      </w:r>
      <w:r w:rsidRPr="00372DE7">
        <w:rPr>
          <w:rFonts w:ascii="Calibri" w:hAnsi="Calibri" w:cstheme="minorHAnsi"/>
        </w:rPr>
        <w:t xml:space="preserve"> </w:t>
      </w:r>
      <w:r w:rsidR="00E0358F">
        <w:rPr>
          <w:rFonts w:ascii="Calibri" w:hAnsi="Calibri" w:cstheme="minorHAnsi"/>
        </w:rPr>
        <w:t xml:space="preserve">To avoid delays, agencies should ensure that all documents are complete and included in the initial filing, along with compelling answers to the sole source justification questions and evidence of the WEBS posting and public inspection notice.  </w:t>
      </w:r>
      <w:r w:rsidRPr="00372DE7">
        <w:rPr>
          <w:rFonts w:ascii="Calibri" w:hAnsi="Calibri"/>
        </w:rPr>
        <w:t>Agencies are encouraged to budget ample lead time to accommodate the DES approval process, vendor notice requirements, and transparency requirements. In determining whether to approve a sole source contract filing, DES will review all information submitted including vendor challenges and the agency response. Occasionally, DES experiences a backlog, particularly in the high-volume filing months of May and June. DES will alert agencies if there will be delays in processing sole source filings.</w:t>
      </w:r>
      <w:r>
        <w:rPr>
          <w:rFonts w:ascii="Calibri" w:hAnsi="Calibri"/>
        </w:rPr>
        <w:t xml:space="preserve"> </w:t>
      </w:r>
      <w:r w:rsidRPr="00372DE7">
        <w:rPr>
          <w:rFonts w:ascii="Calibri" w:hAnsi="Calibri" w:cstheme="minorHAnsi"/>
        </w:rPr>
        <w:t>[</w:t>
      </w:r>
      <w:r w:rsidRPr="00B43AEE">
        <w:rPr>
          <w:rFonts w:ascii="Calibri" w:hAnsi="Calibri" w:cstheme="minorHAnsi"/>
          <w:i/>
        </w:rPr>
        <w:t>INSERT PUBLISH DATE</w:t>
      </w:r>
      <w:r w:rsidRPr="00372DE7">
        <w:rPr>
          <w:rFonts w:ascii="Calibri" w:hAnsi="Calibri" w:cstheme="minorHAnsi"/>
        </w:rPr>
        <w:t>]</w:t>
      </w:r>
    </w:p>
    <w:p w14:paraId="25A4E47E" w14:textId="77777777" w:rsidR="00800627" w:rsidRPr="00372DE7" w:rsidRDefault="00800627" w:rsidP="00800627">
      <w:pPr>
        <w:pStyle w:val="ListParagraph"/>
        <w:spacing w:after="0" w:line="240" w:lineRule="auto"/>
        <w:ind w:left="360" w:right="90"/>
        <w:rPr>
          <w:rFonts w:ascii="Calibri" w:hAnsi="Calibri"/>
        </w:rPr>
      </w:pPr>
    </w:p>
    <w:p w14:paraId="41DE808D" w14:textId="77777777" w:rsidR="00800627" w:rsidRPr="00372DE7" w:rsidRDefault="00800627" w:rsidP="00800627">
      <w:pPr>
        <w:pStyle w:val="ListParagraph"/>
        <w:numPr>
          <w:ilvl w:val="0"/>
          <w:numId w:val="18"/>
        </w:numPr>
        <w:spacing w:after="0" w:line="240" w:lineRule="auto"/>
        <w:ind w:left="360" w:right="90"/>
        <w:rPr>
          <w:rFonts w:ascii="Calibri" w:hAnsi="Calibri"/>
          <w:b/>
        </w:rPr>
      </w:pPr>
      <w:r w:rsidRPr="00372DE7">
        <w:rPr>
          <w:rFonts w:ascii="Calibri" w:hAnsi="Calibri"/>
          <w:b/>
        </w:rPr>
        <w:t>Question: What is a late filing?</w:t>
      </w:r>
    </w:p>
    <w:p w14:paraId="0FF685B4" w14:textId="77777777" w:rsidR="00800627" w:rsidRPr="00372DE7" w:rsidRDefault="00800627" w:rsidP="00800627">
      <w:pPr>
        <w:pStyle w:val="ListParagraph"/>
        <w:spacing w:after="0" w:line="240" w:lineRule="auto"/>
        <w:ind w:left="360" w:right="90"/>
        <w:rPr>
          <w:rFonts w:ascii="Calibri" w:hAnsi="Calibri" w:cstheme="minorHAnsi"/>
          <w:b/>
        </w:rPr>
      </w:pPr>
    </w:p>
    <w:p w14:paraId="7F74141E" w14:textId="77777777" w:rsidR="00800627" w:rsidRPr="00372DE7" w:rsidRDefault="00800627" w:rsidP="00800627">
      <w:pPr>
        <w:pStyle w:val="NoSpacing"/>
        <w:ind w:left="360" w:right="90"/>
        <w:rPr>
          <w:rFonts w:ascii="Calibri" w:hAnsi="Calibri" w:cstheme="minorHAnsi"/>
          <w:sz w:val="22"/>
          <w:szCs w:val="22"/>
        </w:rPr>
      </w:pPr>
      <w:r w:rsidRPr="00372DE7">
        <w:rPr>
          <w:rFonts w:ascii="Calibri" w:hAnsi="Calibri" w:cstheme="minorHAnsi"/>
          <w:b/>
          <w:sz w:val="22"/>
        </w:rPr>
        <w:t>Answer:</w:t>
      </w:r>
      <w:r w:rsidRPr="00372DE7">
        <w:rPr>
          <w:rFonts w:ascii="Calibri" w:hAnsi="Calibri" w:cstheme="minorHAnsi"/>
          <w:sz w:val="22"/>
        </w:rPr>
        <w:t xml:space="preserve"> </w:t>
      </w:r>
      <w:r w:rsidRPr="00372DE7">
        <w:rPr>
          <w:rFonts w:ascii="Calibri" w:eastAsia="Times New Roman" w:hAnsi="Calibri" w:cs="Times New Roman"/>
          <w:sz w:val="22"/>
          <w:szCs w:val="24"/>
        </w:rPr>
        <w:t>Any sole source contract set to begin any time prior to or during the DES processing period will be flagged as a “late filing” and will not receive approval even if all other sole source criteria has been satisfied.</w:t>
      </w:r>
      <w:r>
        <w:rPr>
          <w:rFonts w:ascii="Calibri" w:eastAsia="Times New Roman" w:hAnsi="Calibri" w:cs="Times New Roman"/>
          <w:sz w:val="22"/>
          <w:szCs w:val="24"/>
        </w:rPr>
        <w:t xml:space="preserve"> </w:t>
      </w:r>
      <w:r w:rsidRPr="00372DE7">
        <w:rPr>
          <w:rFonts w:ascii="Calibri" w:hAnsi="Calibri" w:cstheme="minorHAnsi"/>
          <w:sz w:val="22"/>
        </w:rPr>
        <w:t>[</w:t>
      </w:r>
      <w:r w:rsidRPr="00B43AEE">
        <w:rPr>
          <w:rFonts w:ascii="Calibri" w:hAnsi="Calibri" w:cstheme="minorHAnsi"/>
          <w:i/>
          <w:sz w:val="22"/>
        </w:rPr>
        <w:t>INSERT PUBLISH DATE</w:t>
      </w:r>
      <w:r w:rsidRPr="00372DE7">
        <w:rPr>
          <w:rFonts w:ascii="Calibri" w:hAnsi="Calibri" w:cstheme="minorHAnsi"/>
          <w:sz w:val="22"/>
        </w:rPr>
        <w:t>]</w:t>
      </w:r>
    </w:p>
    <w:p w14:paraId="2334B8EA" w14:textId="77777777" w:rsidR="00800627" w:rsidRPr="00372DE7" w:rsidRDefault="00800627" w:rsidP="00800627">
      <w:pPr>
        <w:spacing w:after="0" w:line="240" w:lineRule="auto"/>
        <w:ind w:right="90"/>
        <w:rPr>
          <w:rFonts w:ascii="Calibri" w:hAnsi="Calibri" w:cstheme="minorHAnsi"/>
          <w:b/>
        </w:rPr>
      </w:pPr>
    </w:p>
    <w:p w14:paraId="38A69FC8" w14:textId="41161E86" w:rsidR="00800627" w:rsidRPr="00372DE7" w:rsidRDefault="00800627" w:rsidP="00800627">
      <w:pPr>
        <w:pStyle w:val="ListParagraph"/>
        <w:numPr>
          <w:ilvl w:val="0"/>
          <w:numId w:val="18"/>
        </w:numPr>
        <w:spacing w:after="0" w:line="240" w:lineRule="auto"/>
        <w:ind w:left="360" w:right="90"/>
        <w:rPr>
          <w:rFonts w:ascii="Calibri" w:hAnsi="Calibri" w:cstheme="minorHAnsi"/>
        </w:rPr>
      </w:pPr>
      <w:r w:rsidRPr="00372DE7">
        <w:rPr>
          <w:rFonts w:ascii="Calibri" w:hAnsi="Calibri" w:cstheme="minorHAnsi"/>
          <w:b/>
        </w:rPr>
        <w:t>Question:</w:t>
      </w:r>
      <w:r w:rsidRPr="00372DE7">
        <w:rPr>
          <w:rFonts w:ascii="Calibri" w:hAnsi="Calibri" w:cstheme="minorHAnsi"/>
        </w:rPr>
        <w:t xml:space="preserve"> </w:t>
      </w:r>
      <w:r w:rsidRPr="00372DE7">
        <w:rPr>
          <w:rFonts w:ascii="Calibri" w:hAnsi="Calibri" w:cstheme="minorHAnsi"/>
          <w:b/>
        </w:rPr>
        <w:t xml:space="preserve">What language should appear in a sole source </w:t>
      </w:r>
      <w:r w:rsidR="00F81991">
        <w:rPr>
          <w:rFonts w:ascii="Calibri" w:hAnsi="Calibri" w:cstheme="minorHAnsi"/>
          <w:b/>
        </w:rPr>
        <w:t xml:space="preserve">contract or </w:t>
      </w:r>
      <w:r w:rsidRPr="00372DE7">
        <w:rPr>
          <w:rFonts w:ascii="Calibri" w:hAnsi="Calibri" w:cstheme="minorHAnsi"/>
          <w:b/>
        </w:rPr>
        <w:t xml:space="preserve">amendment that will tell vendors that the </w:t>
      </w:r>
      <w:r w:rsidR="00F81991">
        <w:rPr>
          <w:rFonts w:ascii="Calibri" w:hAnsi="Calibri" w:cstheme="minorHAnsi"/>
          <w:b/>
        </w:rPr>
        <w:t xml:space="preserve">contract or </w:t>
      </w:r>
      <w:r w:rsidRPr="00372DE7">
        <w:rPr>
          <w:rFonts w:ascii="Calibri" w:hAnsi="Calibri" w:cstheme="minorHAnsi"/>
          <w:b/>
        </w:rPr>
        <w:t>amendment is not valid until receiving DES approval?</w:t>
      </w:r>
    </w:p>
    <w:p w14:paraId="6B4C8D07" w14:textId="77777777" w:rsidR="00800627" w:rsidRPr="00372DE7" w:rsidRDefault="00800627" w:rsidP="00800627">
      <w:pPr>
        <w:pStyle w:val="ListParagraph"/>
        <w:spacing w:after="0" w:line="240" w:lineRule="auto"/>
        <w:ind w:left="360" w:right="90"/>
        <w:rPr>
          <w:rFonts w:ascii="Calibri" w:hAnsi="Calibri" w:cstheme="minorHAnsi"/>
          <w:b/>
        </w:rPr>
      </w:pPr>
    </w:p>
    <w:p w14:paraId="72CB296B" w14:textId="77777777" w:rsidR="00800627" w:rsidRPr="00372DE7" w:rsidRDefault="00800627" w:rsidP="00800627">
      <w:pPr>
        <w:pStyle w:val="ListParagraph"/>
        <w:spacing w:after="0" w:line="240" w:lineRule="auto"/>
        <w:ind w:left="360" w:right="90"/>
        <w:rPr>
          <w:rFonts w:ascii="Calibri" w:hAnsi="Calibri" w:cstheme="minorHAnsi"/>
        </w:rPr>
      </w:pPr>
      <w:r w:rsidRPr="00372DE7">
        <w:rPr>
          <w:rFonts w:ascii="Calibri" w:hAnsi="Calibri" w:cstheme="minorHAnsi"/>
          <w:b/>
        </w:rPr>
        <w:t>Answer:</w:t>
      </w:r>
      <w:r w:rsidRPr="00372DE7">
        <w:rPr>
          <w:rFonts w:ascii="Calibri" w:hAnsi="Calibri" w:cstheme="minorHAnsi"/>
        </w:rPr>
        <w:t xml:space="preserve"> The language is as follows:</w:t>
      </w:r>
    </w:p>
    <w:p w14:paraId="7700F304" w14:textId="77777777" w:rsidR="00800627" w:rsidRPr="00372DE7" w:rsidRDefault="00800627" w:rsidP="00800627">
      <w:pPr>
        <w:pStyle w:val="ListParagraph"/>
        <w:spacing w:after="0" w:line="240" w:lineRule="auto"/>
        <w:ind w:left="360" w:right="90"/>
        <w:rPr>
          <w:rFonts w:ascii="Calibri" w:hAnsi="Calibri" w:cstheme="minorHAnsi"/>
        </w:rPr>
      </w:pPr>
    </w:p>
    <w:p w14:paraId="7A77D81C" w14:textId="77777777" w:rsidR="00F81991" w:rsidRPr="00372DE7" w:rsidRDefault="00F81991" w:rsidP="00F81991">
      <w:pPr>
        <w:pStyle w:val="ListParagraph"/>
        <w:spacing w:after="0" w:line="240" w:lineRule="auto"/>
        <w:ind w:right="90"/>
        <w:rPr>
          <w:rFonts w:ascii="Calibri" w:hAnsi="Calibri" w:cstheme="minorHAnsi"/>
        </w:rPr>
      </w:pPr>
      <w:r>
        <w:rPr>
          <w:rFonts w:ascii="Calibri" w:hAnsi="Calibri" w:cstheme="minorHAnsi"/>
        </w:rPr>
        <w:t xml:space="preserve">For Contracts:  </w:t>
      </w:r>
      <w:r w:rsidRPr="00372DE7">
        <w:rPr>
          <w:rFonts w:ascii="Calibri" w:hAnsi="Calibri" w:cstheme="minorHAnsi"/>
        </w:rPr>
        <w:t>DES Sole Source Approval: The provisions of Chapter 39.26 RCW require the age</w:t>
      </w:r>
      <w:r>
        <w:rPr>
          <w:rFonts w:ascii="Calibri" w:hAnsi="Calibri" w:cstheme="minorHAnsi"/>
        </w:rPr>
        <w:t xml:space="preserve">ncy to file this </w:t>
      </w:r>
      <w:r w:rsidRPr="00372DE7">
        <w:rPr>
          <w:rFonts w:ascii="Calibri" w:hAnsi="Calibri" w:cstheme="minorHAnsi"/>
        </w:rPr>
        <w:t>sole source contract with the Department of Enterprise Services (DES) for approval. The</w:t>
      </w:r>
      <w:r>
        <w:rPr>
          <w:rFonts w:ascii="Calibri" w:hAnsi="Calibri" w:cstheme="minorHAnsi"/>
        </w:rPr>
        <w:t xml:space="preserve"> </w:t>
      </w:r>
      <w:r>
        <w:rPr>
          <w:rFonts w:ascii="Calibri" w:hAnsi="Calibri" w:cstheme="minorHAnsi"/>
        </w:rPr>
        <w:lastRenderedPageBreak/>
        <w:t>effective date of this contract</w:t>
      </w:r>
      <w:r w:rsidRPr="00372DE7">
        <w:rPr>
          <w:rFonts w:ascii="Calibri" w:hAnsi="Calibri" w:cstheme="minorHAnsi"/>
        </w:rPr>
        <w:t xml:space="preserve"> is either up</w:t>
      </w:r>
      <w:r>
        <w:rPr>
          <w:rFonts w:ascii="Calibri" w:hAnsi="Calibri" w:cstheme="minorHAnsi"/>
        </w:rPr>
        <w:t>on DES approval of the contract</w:t>
      </w:r>
      <w:r w:rsidRPr="00372DE7">
        <w:rPr>
          <w:rFonts w:ascii="Calibri" w:hAnsi="Calibri" w:cstheme="minorHAnsi"/>
        </w:rPr>
        <w:t>, the tenth (10th) working day after it is filed with DES, or as agreed between the parties, whichever is later.</w:t>
      </w:r>
    </w:p>
    <w:p w14:paraId="62AAAD85" w14:textId="77777777" w:rsidR="00F81991" w:rsidRDefault="00F81991" w:rsidP="00800627">
      <w:pPr>
        <w:pStyle w:val="ListParagraph"/>
        <w:spacing w:after="0" w:line="240" w:lineRule="auto"/>
        <w:ind w:right="90"/>
        <w:rPr>
          <w:rFonts w:ascii="Calibri" w:hAnsi="Calibri" w:cstheme="minorHAnsi"/>
        </w:rPr>
      </w:pPr>
    </w:p>
    <w:p w14:paraId="48CFB131" w14:textId="77777777" w:rsidR="00800627" w:rsidRPr="00372DE7" w:rsidRDefault="00F81991" w:rsidP="00800627">
      <w:pPr>
        <w:pStyle w:val="ListParagraph"/>
        <w:spacing w:after="0" w:line="240" w:lineRule="auto"/>
        <w:ind w:right="90"/>
        <w:rPr>
          <w:rFonts w:ascii="Calibri" w:hAnsi="Calibri" w:cstheme="minorHAnsi"/>
        </w:rPr>
      </w:pPr>
      <w:r>
        <w:rPr>
          <w:rFonts w:ascii="Calibri" w:hAnsi="Calibri" w:cstheme="minorHAnsi"/>
        </w:rPr>
        <w:t xml:space="preserve">For Amendments:  </w:t>
      </w:r>
      <w:r w:rsidR="00800627" w:rsidRPr="00372DE7">
        <w:rPr>
          <w:rFonts w:ascii="Calibri" w:hAnsi="Calibri" w:cstheme="minorHAnsi"/>
        </w:rPr>
        <w:t>DES Sole Source Approval: The provisions of Chapter 39.26 RCW require the agency to file this amendment to a sole source contract with the Department of Enterprise Services (DES) for approval. The effective date of this amendment is either upon DES approval of the amendment, the tenth (10th) working day after it is filed with DES, or as agreed between the parties, whichever is later.</w:t>
      </w:r>
    </w:p>
    <w:p w14:paraId="62CD7187" w14:textId="77777777" w:rsidR="00800627" w:rsidRPr="00372DE7" w:rsidRDefault="00800627" w:rsidP="00800627">
      <w:pPr>
        <w:spacing w:after="0" w:line="240" w:lineRule="auto"/>
        <w:ind w:right="90"/>
        <w:rPr>
          <w:rFonts w:ascii="Calibri" w:hAnsi="Calibri" w:cstheme="minorHAnsi"/>
        </w:rPr>
      </w:pPr>
    </w:p>
    <w:p w14:paraId="7E8921E1" w14:textId="77777777" w:rsidR="007256A3" w:rsidRDefault="00800627" w:rsidP="00800627">
      <w:pPr>
        <w:pStyle w:val="TableParagraph"/>
        <w:ind w:left="360" w:right="90"/>
        <w:rPr>
          <w:rFonts w:ascii="Calibri" w:hAnsi="Calibri" w:cstheme="minorHAnsi"/>
        </w:rPr>
      </w:pPr>
      <w:r w:rsidRPr="00372DE7">
        <w:rPr>
          <w:rFonts w:ascii="Calibri" w:hAnsi="Calibri" w:cstheme="minorHAnsi"/>
        </w:rPr>
        <w:t xml:space="preserve">The purpose of this language is to put the vendor on notice of the effective date of the </w:t>
      </w:r>
      <w:r w:rsidR="00F81991">
        <w:rPr>
          <w:rFonts w:ascii="Calibri" w:hAnsi="Calibri" w:cstheme="minorHAnsi"/>
        </w:rPr>
        <w:t xml:space="preserve">contract or </w:t>
      </w:r>
      <w:r w:rsidRPr="00372DE7">
        <w:rPr>
          <w:rFonts w:ascii="Calibri" w:hAnsi="Calibri" w:cstheme="minorHAnsi"/>
        </w:rPr>
        <w:t>amendment. This is a material term for sole source contracts and substantive amendments, and is designed to prevent work occurring before a contract/amendment becomes effective. [</w:t>
      </w:r>
      <w:r w:rsidRPr="00B43AEE">
        <w:rPr>
          <w:rFonts w:ascii="Calibri" w:hAnsi="Calibri" w:cstheme="minorHAnsi"/>
          <w:i/>
        </w:rPr>
        <w:t>INSERT PUBLISH DATE</w:t>
      </w:r>
      <w:r w:rsidRPr="00372DE7">
        <w:rPr>
          <w:rFonts w:ascii="Calibri" w:hAnsi="Calibri" w:cstheme="minorHAnsi"/>
        </w:rPr>
        <w:t>]</w:t>
      </w:r>
    </w:p>
    <w:p w14:paraId="6DE5ACC5" w14:textId="77777777" w:rsidR="00800627" w:rsidRPr="00372DE7" w:rsidRDefault="00800627" w:rsidP="00800627">
      <w:pPr>
        <w:pStyle w:val="TableParagraph"/>
        <w:ind w:left="360" w:right="90"/>
        <w:rPr>
          <w:rFonts w:ascii="Calibri" w:eastAsia="Times New Roman" w:hAnsi="Calibri" w:cs="Times New Roman"/>
          <w:szCs w:val="24"/>
        </w:rPr>
      </w:pPr>
      <w:r w:rsidRPr="00372DE7">
        <w:rPr>
          <w:rFonts w:ascii="Calibri" w:hAnsi="Calibri" w:cstheme="minorHAnsi"/>
        </w:rPr>
        <w:t xml:space="preserve"> </w:t>
      </w:r>
    </w:p>
    <w:p w14:paraId="1F220179" w14:textId="77777777" w:rsidR="00800627" w:rsidRPr="00372DE7" w:rsidRDefault="00800627" w:rsidP="00800627">
      <w:pPr>
        <w:pStyle w:val="ListParagraph"/>
        <w:numPr>
          <w:ilvl w:val="0"/>
          <w:numId w:val="18"/>
        </w:numPr>
        <w:spacing w:after="0" w:line="240" w:lineRule="auto"/>
        <w:ind w:left="360" w:right="90"/>
        <w:rPr>
          <w:rFonts w:ascii="Calibri" w:hAnsi="Calibri"/>
          <w:b/>
        </w:rPr>
      </w:pPr>
      <w:r w:rsidRPr="00372DE7">
        <w:rPr>
          <w:rFonts w:ascii="Calibri" w:hAnsi="Calibri"/>
          <w:b/>
        </w:rPr>
        <w:t>Question: Can an agency review other filed and completed sole source filings?</w:t>
      </w:r>
    </w:p>
    <w:p w14:paraId="769F34D4" w14:textId="77777777" w:rsidR="00800627" w:rsidRPr="00372DE7" w:rsidRDefault="00800627" w:rsidP="00800627">
      <w:pPr>
        <w:pStyle w:val="ListParagraph"/>
        <w:spacing w:after="0" w:line="240" w:lineRule="auto"/>
        <w:ind w:left="360" w:right="90"/>
        <w:rPr>
          <w:rFonts w:ascii="Calibri" w:hAnsi="Calibri" w:cstheme="minorHAnsi"/>
          <w:b/>
        </w:rPr>
      </w:pPr>
    </w:p>
    <w:p w14:paraId="54BA99DB" w14:textId="77777777" w:rsidR="00E4591D" w:rsidRDefault="00800627" w:rsidP="00351117">
      <w:pPr>
        <w:pStyle w:val="NoSpacing"/>
        <w:ind w:left="360" w:right="90"/>
        <w:rPr>
          <w:rFonts w:ascii="Calibri" w:hAnsi="Calibri" w:cstheme="minorHAnsi"/>
          <w:sz w:val="22"/>
        </w:rPr>
      </w:pPr>
      <w:r w:rsidRPr="00372DE7">
        <w:rPr>
          <w:rFonts w:ascii="Calibri" w:hAnsi="Calibri" w:cstheme="minorHAnsi"/>
          <w:b/>
          <w:sz w:val="22"/>
        </w:rPr>
        <w:t>Answer:</w:t>
      </w:r>
      <w:r w:rsidRPr="00372DE7">
        <w:rPr>
          <w:rFonts w:ascii="Calibri" w:hAnsi="Calibri" w:cstheme="minorHAnsi"/>
          <w:sz w:val="22"/>
        </w:rPr>
        <w:t xml:space="preserve"> </w:t>
      </w:r>
      <w:r w:rsidRPr="00372DE7">
        <w:rPr>
          <w:rFonts w:ascii="Calibri" w:eastAsia="Times New Roman" w:hAnsi="Calibri" w:cs="Times New Roman"/>
          <w:sz w:val="22"/>
          <w:szCs w:val="24"/>
        </w:rPr>
        <w:t>Yes. The SSCD has this functionality available. Agencies must update their user role to “Query Status Review” to be able to have access to other agency sole source filings.</w:t>
      </w:r>
      <w:r w:rsidRPr="00372DE7">
        <w:rPr>
          <w:rFonts w:ascii="Calibri" w:hAnsi="Calibri" w:cstheme="minorHAnsi"/>
          <w:sz w:val="22"/>
        </w:rPr>
        <w:t xml:space="preserve"> [</w:t>
      </w:r>
      <w:r w:rsidRPr="00B43AEE">
        <w:rPr>
          <w:rFonts w:ascii="Calibri" w:hAnsi="Calibri" w:cstheme="minorHAnsi"/>
          <w:i/>
          <w:sz w:val="22"/>
        </w:rPr>
        <w:t>INSERT PUBLISH DATE</w:t>
      </w:r>
      <w:r w:rsidRPr="00372DE7">
        <w:rPr>
          <w:rFonts w:ascii="Calibri" w:hAnsi="Calibri" w:cstheme="minorHAnsi"/>
          <w:sz w:val="22"/>
        </w:rPr>
        <w:t>]</w:t>
      </w:r>
    </w:p>
    <w:p w14:paraId="15AD55AE" w14:textId="77777777" w:rsidR="003007B0" w:rsidRDefault="003007B0" w:rsidP="00351117">
      <w:pPr>
        <w:pStyle w:val="NoSpacing"/>
        <w:ind w:left="360" w:right="90"/>
        <w:rPr>
          <w:rFonts w:ascii="Calibri" w:hAnsi="Calibri" w:cstheme="minorHAnsi"/>
          <w:sz w:val="22"/>
        </w:rPr>
      </w:pPr>
    </w:p>
    <w:p w14:paraId="35BCB600" w14:textId="77777777" w:rsidR="003007B0" w:rsidRPr="00120BAD" w:rsidRDefault="00DA4F07" w:rsidP="008F2729">
      <w:pPr>
        <w:pStyle w:val="NoSpacing"/>
        <w:numPr>
          <w:ilvl w:val="0"/>
          <w:numId w:val="18"/>
        </w:numPr>
        <w:ind w:left="360" w:right="90"/>
        <w:rPr>
          <w:rFonts w:ascii="Calibri" w:hAnsi="Calibri" w:cstheme="minorHAnsi"/>
          <w:b/>
          <w:sz w:val="22"/>
        </w:rPr>
      </w:pPr>
      <w:bookmarkStart w:id="0" w:name="_GoBack"/>
      <w:r w:rsidRPr="00120BAD">
        <w:rPr>
          <w:rFonts w:ascii="Calibri" w:hAnsi="Calibri" w:cstheme="minorHAnsi"/>
          <w:b/>
          <w:sz w:val="22"/>
        </w:rPr>
        <w:t xml:space="preserve">Question:  Are Internet Service Providers (ISP) </w:t>
      </w:r>
      <w:r w:rsidR="008F2729" w:rsidRPr="00120BAD">
        <w:rPr>
          <w:rFonts w:ascii="Calibri" w:hAnsi="Calibri" w:cstheme="minorHAnsi"/>
          <w:b/>
          <w:sz w:val="22"/>
        </w:rPr>
        <w:t>considered under the</w:t>
      </w:r>
      <w:r w:rsidRPr="00120BAD">
        <w:rPr>
          <w:rFonts w:ascii="Calibri" w:hAnsi="Calibri" w:cstheme="minorHAnsi"/>
          <w:b/>
          <w:sz w:val="22"/>
        </w:rPr>
        <w:t xml:space="preserve"> exemption</w:t>
      </w:r>
      <w:r w:rsidR="008F2729" w:rsidRPr="00120BAD">
        <w:rPr>
          <w:rFonts w:ascii="Calibri" w:hAnsi="Calibri" w:cstheme="minorHAnsi"/>
          <w:b/>
          <w:sz w:val="22"/>
        </w:rPr>
        <w:t xml:space="preserve"> for utilities?</w:t>
      </w:r>
      <w:r w:rsidRPr="00120BAD">
        <w:rPr>
          <w:rFonts w:ascii="Calibri" w:hAnsi="Calibri" w:cstheme="minorHAnsi"/>
          <w:b/>
          <w:sz w:val="22"/>
        </w:rPr>
        <w:t xml:space="preserve"> </w:t>
      </w:r>
    </w:p>
    <w:p w14:paraId="239EE3E9" w14:textId="77777777" w:rsidR="008F2729" w:rsidRDefault="008F2729" w:rsidP="008F2729">
      <w:pPr>
        <w:pStyle w:val="NoSpacing"/>
        <w:ind w:left="360" w:right="90"/>
        <w:rPr>
          <w:rFonts w:ascii="Calibri" w:hAnsi="Calibri" w:cstheme="minorHAnsi"/>
          <w:sz w:val="22"/>
        </w:rPr>
      </w:pPr>
    </w:p>
    <w:p w14:paraId="219A272E" w14:textId="77777777" w:rsidR="008F2729" w:rsidRDefault="008F2729" w:rsidP="008F2729">
      <w:pPr>
        <w:pStyle w:val="NoSpacing"/>
        <w:ind w:left="360" w:right="90"/>
        <w:rPr>
          <w:rFonts w:ascii="Calibri" w:hAnsi="Calibri" w:cstheme="minorHAnsi"/>
          <w:sz w:val="22"/>
        </w:rPr>
      </w:pPr>
      <w:r w:rsidRPr="00120BAD">
        <w:rPr>
          <w:rFonts w:ascii="Calibri" w:hAnsi="Calibri" w:cstheme="minorHAnsi"/>
          <w:b/>
          <w:sz w:val="22"/>
        </w:rPr>
        <w:t>Answer:</w:t>
      </w:r>
      <w:r>
        <w:rPr>
          <w:rFonts w:ascii="Calibri" w:hAnsi="Calibri" w:cstheme="minorHAnsi"/>
          <w:sz w:val="22"/>
        </w:rPr>
        <w:t xml:space="preserve">  No.  According to the Utilities and Transportation Commission (UTC), ISP is regulated for quality only.  The UTC does not set pricing.  In addition, in many areas there are more than one ISP available.  In such instances, it is appropriate for an agency to obtain quotes for ISPs.</w:t>
      </w:r>
      <w:r w:rsidR="005622E9">
        <w:rPr>
          <w:rFonts w:ascii="Calibri" w:hAnsi="Calibri" w:cstheme="minorHAnsi"/>
          <w:sz w:val="22"/>
        </w:rPr>
        <w:t xml:space="preserve"> </w:t>
      </w:r>
      <w:r w:rsidR="005622E9" w:rsidRPr="00372DE7">
        <w:rPr>
          <w:rFonts w:ascii="Calibri" w:hAnsi="Calibri" w:cstheme="minorHAnsi"/>
          <w:sz w:val="22"/>
        </w:rPr>
        <w:t>[</w:t>
      </w:r>
      <w:r w:rsidR="005622E9" w:rsidRPr="00B43AEE">
        <w:rPr>
          <w:rFonts w:ascii="Calibri" w:hAnsi="Calibri" w:cstheme="minorHAnsi"/>
          <w:i/>
          <w:sz w:val="22"/>
        </w:rPr>
        <w:t>INSERT PUBLISH DATE</w:t>
      </w:r>
      <w:r w:rsidR="005622E9" w:rsidRPr="00372DE7">
        <w:rPr>
          <w:rFonts w:ascii="Calibri" w:hAnsi="Calibri" w:cstheme="minorHAnsi"/>
          <w:sz w:val="22"/>
        </w:rPr>
        <w:t>]</w:t>
      </w:r>
    </w:p>
    <w:p w14:paraId="31DDD8C4" w14:textId="77777777" w:rsidR="00120BAD" w:rsidRDefault="00120BAD" w:rsidP="008F2729">
      <w:pPr>
        <w:pStyle w:val="NoSpacing"/>
        <w:ind w:left="360" w:right="90"/>
        <w:rPr>
          <w:rFonts w:ascii="Calibri" w:hAnsi="Calibri" w:cstheme="minorHAnsi"/>
          <w:sz w:val="22"/>
        </w:rPr>
      </w:pPr>
    </w:p>
    <w:p w14:paraId="26D1B4DE" w14:textId="77777777" w:rsidR="00120BAD" w:rsidRPr="005F1E8C" w:rsidRDefault="00BB1DE0" w:rsidP="00120BAD">
      <w:pPr>
        <w:pStyle w:val="NoSpacing"/>
        <w:numPr>
          <w:ilvl w:val="0"/>
          <w:numId w:val="18"/>
        </w:numPr>
        <w:ind w:left="360" w:right="90"/>
        <w:rPr>
          <w:rFonts w:ascii="Calibri" w:hAnsi="Calibri" w:cstheme="minorHAnsi"/>
          <w:b/>
          <w:sz w:val="22"/>
        </w:rPr>
      </w:pPr>
      <w:r w:rsidRPr="005F1E8C">
        <w:rPr>
          <w:rFonts w:ascii="Calibri" w:hAnsi="Calibri" w:cstheme="minorHAnsi"/>
          <w:b/>
          <w:sz w:val="22"/>
        </w:rPr>
        <w:t xml:space="preserve">Question:  Are software license renewals exempt from competition and from the </w:t>
      </w:r>
      <w:r w:rsidR="00785A78" w:rsidRPr="005F1E8C">
        <w:rPr>
          <w:rFonts w:ascii="Calibri" w:hAnsi="Calibri" w:cstheme="minorHAnsi"/>
          <w:b/>
          <w:sz w:val="22"/>
        </w:rPr>
        <w:t>sole source policy?</w:t>
      </w:r>
    </w:p>
    <w:p w14:paraId="56145E12" w14:textId="77777777" w:rsidR="00114840" w:rsidRDefault="00114840" w:rsidP="00114840">
      <w:pPr>
        <w:pStyle w:val="NoSpacing"/>
        <w:ind w:right="90"/>
        <w:rPr>
          <w:rFonts w:ascii="Calibri" w:hAnsi="Calibri" w:cstheme="minorHAnsi"/>
          <w:sz w:val="22"/>
        </w:rPr>
      </w:pPr>
    </w:p>
    <w:p w14:paraId="6669C5EF" w14:textId="77777777" w:rsidR="00114840" w:rsidRDefault="00114840" w:rsidP="00114840">
      <w:pPr>
        <w:pStyle w:val="NoSpacing"/>
        <w:ind w:left="360" w:right="90"/>
        <w:rPr>
          <w:rFonts w:ascii="Calibri" w:hAnsi="Calibri" w:cstheme="minorHAnsi"/>
          <w:sz w:val="22"/>
        </w:rPr>
      </w:pPr>
      <w:r w:rsidRPr="005F1E8C">
        <w:rPr>
          <w:rFonts w:ascii="Calibri" w:hAnsi="Calibri" w:cstheme="minorHAnsi"/>
          <w:b/>
          <w:sz w:val="22"/>
        </w:rPr>
        <w:t>Answer:</w:t>
      </w:r>
      <w:r>
        <w:rPr>
          <w:rFonts w:ascii="Calibri" w:hAnsi="Calibri" w:cstheme="minorHAnsi"/>
          <w:sz w:val="22"/>
        </w:rPr>
        <w:t xml:space="preserve">  No.  Software license renewals are not exempt and should be filed as a new sole source, if applicable, or re-competed.</w:t>
      </w:r>
      <w:r w:rsidR="005622E9">
        <w:rPr>
          <w:rFonts w:ascii="Calibri" w:hAnsi="Calibri" w:cstheme="minorHAnsi"/>
          <w:sz w:val="22"/>
        </w:rPr>
        <w:t xml:space="preserve"> </w:t>
      </w:r>
      <w:r w:rsidR="005622E9" w:rsidRPr="00372DE7">
        <w:rPr>
          <w:rFonts w:ascii="Calibri" w:hAnsi="Calibri" w:cstheme="minorHAnsi"/>
          <w:sz w:val="22"/>
        </w:rPr>
        <w:t>[</w:t>
      </w:r>
      <w:r w:rsidR="005622E9" w:rsidRPr="00B43AEE">
        <w:rPr>
          <w:rFonts w:ascii="Calibri" w:hAnsi="Calibri" w:cstheme="minorHAnsi"/>
          <w:i/>
          <w:sz w:val="22"/>
        </w:rPr>
        <w:t>INSERT PUBLISH DATE</w:t>
      </w:r>
      <w:r w:rsidR="005622E9" w:rsidRPr="00372DE7">
        <w:rPr>
          <w:rFonts w:ascii="Calibri" w:hAnsi="Calibri" w:cstheme="minorHAnsi"/>
          <w:sz w:val="22"/>
        </w:rPr>
        <w:t>]</w:t>
      </w:r>
    </w:p>
    <w:p w14:paraId="02DB4329" w14:textId="77777777" w:rsidR="00F2036E" w:rsidRDefault="00F2036E" w:rsidP="00114840">
      <w:pPr>
        <w:pStyle w:val="NoSpacing"/>
        <w:ind w:left="360" w:right="90"/>
        <w:rPr>
          <w:rFonts w:ascii="Calibri" w:hAnsi="Calibri" w:cstheme="minorHAnsi"/>
          <w:sz w:val="22"/>
        </w:rPr>
      </w:pPr>
    </w:p>
    <w:p w14:paraId="30AC2D80" w14:textId="77777777" w:rsidR="00F2036E" w:rsidRPr="00240C57" w:rsidRDefault="00F2036E" w:rsidP="00F2036E">
      <w:pPr>
        <w:pStyle w:val="NoSpacing"/>
        <w:numPr>
          <w:ilvl w:val="0"/>
          <w:numId w:val="18"/>
        </w:numPr>
        <w:ind w:left="360" w:right="90"/>
        <w:rPr>
          <w:rFonts w:ascii="Calibri" w:hAnsi="Calibri" w:cstheme="minorHAnsi"/>
          <w:b/>
          <w:sz w:val="22"/>
        </w:rPr>
      </w:pPr>
      <w:r w:rsidRPr="00240C57">
        <w:rPr>
          <w:rFonts w:ascii="Calibri" w:hAnsi="Calibri" w:cstheme="minorHAnsi"/>
          <w:b/>
          <w:sz w:val="22"/>
        </w:rPr>
        <w:t>Question:  Are sole source contracts awarded by institutions of higher education exempt from the sole source policy?</w:t>
      </w:r>
    </w:p>
    <w:p w14:paraId="585A446B" w14:textId="77777777" w:rsidR="00F2036E" w:rsidRDefault="00F2036E" w:rsidP="00F2036E">
      <w:pPr>
        <w:pStyle w:val="NoSpacing"/>
        <w:ind w:right="90"/>
        <w:rPr>
          <w:rFonts w:ascii="Calibri" w:hAnsi="Calibri" w:cstheme="minorHAnsi"/>
          <w:sz w:val="22"/>
        </w:rPr>
      </w:pPr>
    </w:p>
    <w:p w14:paraId="7ED803AE" w14:textId="4830F6D6" w:rsidR="00800627" w:rsidRPr="00372DE7" w:rsidRDefault="00F2036E" w:rsidP="009811F4">
      <w:pPr>
        <w:pStyle w:val="NoSpacing"/>
        <w:ind w:left="360" w:right="90"/>
        <w:rPr>
          <w:rFonts w:ascii="Calibri" w:hAnsi="Calibri" w:cstheme="minorHAnsi"/>
          <w:b/>
        </w:rPr>
      </w:pPr>
      <w:r w:rsidRPr="00240C57">
        <w:rPr>
          <w:rFonts w:ascii="Calibri" w:hAnsi="Calibri" w:cstheme="minorHAnsi"/>
          <w:b/>
          <w:sz w:val="22"/>
        </w:rPr>
        <w:t>Answer:</w:t>
      </w:r>
      <w:r>
        <w:rPr>
          <w:rFonts w:ascii="Calibri" w:hAnsi="Calibri" w:cstheme="minorHAnsi"/>
          <w:sz w:val="22"/>
        </w:rPr>
        <w:t xml:space="preserve">  </w:t>
      </w:r>
      <w:r w:rsidR="00AC4A4E">
        <w:rPr>
          <w:rFonts w:ascii="Calibri" w:hAnsi="Calibri" w:cstheme="minorHAnsi"/>
          <w:sz w:val="22"/>
        </w:rPr>
        <w:t xml:space="preserve">It depends on the funding source.  In accordance with RCW 39.26.140(4), </w:t>
      </w:r>
      <w:r w:rsidR="00207D2F">
        <w:rPr>
          <w:rFonts w:ascii="Calibri" w:hAnsi="Calibri" w:cstheme="minorHAnsi"/>
          <w:sz w:val="22"/>
        </w:rPr>
        <w:t xml:space="preserve">sole source </w:t>
      </w:r>
      <w:r w:rsidR="00AC4A4E">
        <w:rPr>
          <w:rFonts w:ascii="Calibri" w:hAnsi="Calibri" w:cstheme="minorHAnsi"/>
          <w:sz w:val="22"/>
        </w:rPr>
        <w:t>contracts awarded by institutions of higher education from nonstate funds are exempt from the s</w:t>
      </w:r>
      <w:r w:rsidR="00207D2F">
        <w:rPr>
          <w:rFonts w:ascii="Calibri" w:hAnsi="Calibri" w:cstheme="minorHAnsi"/>
          <w:sz w:val="22"/>
        </w:rPr>
        <w:t>ole source policy.  Sole source contracts awarded by institutions of higher education that include state funds that are greater than 50% of the total consideration are required to be filed with DES for approval.  For amendments to sole source contracts, if the original contract was not required to be filed because greater than 50% was nonstate funds, the amendment(s) is not required to be filed with DES for approval</w:t>
      </w:r>
      <w:r w:rsidR="00207D2F" w:rsidRPr="00C87608">
        <w:rPr>
          <w:rFonts w:ascii="Calibri" w:hAnsi="Calibri" w:cstheme="minorHAnsi"/>
          <w:sz w:val="22"/>
          <w:szCs w:val="22"/>
        </w:rPr>
        <w:t>.</w:t>
      </w:r>
      <w:r w:rsidR="00240C57" w:rsidRPr="00C87608">
        <w:rPr>
          <w:rFonts w:ascii="Calibri" w:hAnsi="Calibri" w:cstheme="minorHAnsi"/>
          <w:sz w:val="22"/>
          <w:szCs w:val="22"/>
        </w:rPr>
        <w:t xml:space="preserve"> [</w:t>
      </w:r>
      <w:r w:rsidR="00240C57" w:rsidRPr="00C87608">
        <w:rPr>
          <w:rFonts w:ascii="Calibri" w:hAnsi="Calibri" w:cstheme="minorHAnsi"/>
          <w:i/>
          <w:sz w:val="22"/>
          <w:szCs w:val="22"/>
        </w:rPr>
        <w:t>INSERT PUBLISH DATE</w:t>
      </w:r>
      <w:r w:rsidR="00240C57" w:rsidRPr="00C87608">
        <w:rPr>
          <w:rFonts w:ascii="Calibri" w:hAnsi="Calibri" w:cstheme="minorHAnsi"/>
          <w:sz w:val="22"/>
          <w:szCs w:val="22"/>
        </w:rPr>
        <w:t>]</w:t>
      </w:r>
      <w:bookmarkEnd w:id="0"/>
    </w:p>
    <w:sectPr w:rsidR="00800627" w:rsidRPr="00372DE7" w:rsidSect="00295C76">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6FBBD" w14:textId="77777777" w:rsidR="000144C1" w:rsidRDefault="000144C1" w:rsidP="005A2388">
      <w:pPr>
        <w:spacing w:after="0" w:line="240" w:lineRule="auto"/>
      </w:pPr>
      <w:r>
        <w:separator/>
      </w:r>
    </w:p>
  </w:endnote>
  <w:endnote w:type="continuationSeparator" w:id="0">
    <w:p w14:paraId="6E52D972" w14:textId="77777777" w:rsidR="000144C1" w:rsidRDefault="000144C1"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3F65" w14:textId="77777777" w:rsidR="003E2EA3" w:rsidRDefault="003E2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C820" w14:textId="77777777" w:rsidR="003E2EA3" w:rsidRDefault="003E2E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9ACA" w14:textId="77777777" w:rsidR="003E2EA3" w:rsidRDefault="003E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D1CF0" w14:textId="77777777" w:rsidR="000144C1" w:rsidRDefault="000144C1" w:rsidP="005A2388">
      <w:pPr>
        <w:spacing w:after="0" w:line="240" w:lineRule="auto"/>
      </w:pPr>
      <w:r>
        <w:separator/>
      </w:r>
    </w:p>
  </w:footnote>
  <w:footnote w:type="continuationSeparator" w:id="0">
    <w:p w14:paraId="41018E41" w14:textId="77777777" w:rsidR="000144C1" w:rsidRDefault="000144C1"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1509" w14:textId="77777777" w:rsidR="003E2EA3" w:rsidRDefault="003E2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772229"/>
      <w:docPartObj>
        <w:docPartGallery w:val="Watermarks"/>
        <w:docPartUnique/>
      </w:docPartObj>
    </w:sdtPr>
    <w:sdtContent>
      <w:p w14:paraId="397EC9B6" w14:textId="7CBA2950" w:rsidR="003E2EA3" w:rsidRDefault="003E2EA3">
        <w:pPr>
          <w:pStyle w:val="Header"/>
        </w:pPr>
        <w:r>
          <w:rPr>
            <w:noProof/>
          </w:rPr>
          <w:pict w14:anchorId="01B7F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AA34A" w14:textId="77777777" w:rsidR="00295C76" w:rsidRDefault="00295C76">
    <w:pPr>
      <w:pStyle w:val="Header"/>
    </w:pPr>
    <w:r w:rsidRPr="00D0246A">
      <w:rPr>
        <w:rFonts w:cstheme="minorHAnsi"/>
        <w:noProof/>
      </w:rPr>
      <w:drawing>
        <wp:inline distT="0" distB="0" distL="0" distR="0" wp14:anchorId="451A0C5E" wp14:editId="1359598D">
          <wp:extent cx="2162695" cy="365760"/>
          <wp:effectExtent l="0" t="0" r="9525" b="0"/>
          <wp:docPr id="2" name="Picture 2"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1BF"/>
    <w:multiLevelType w:val="hybridMultilevel"/>
    <w:tmpl w:val="6B066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A44FA"/>
    <w:multiLevelType w:val="hybridMultilevel"/>
    <w:tmpl w:val="E48A1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64EA9"/>
    <w:multiLevelType w:val="hybridMultilevel"/>
    <w:tmpl w:val="00F642B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1E50"/>
    <w:multiLevelType w:val="hybridMultilevel"/>
    <w:tmpl w:val="3320B50C"/>
    <w:lvl w:ilvl="0" w:tplc="26F02F5A">
      <w:start w:val="1"/>
      <w:numFmt w:val="decimal"/>
      <w:lvlText w:val="%1)"/>
      <w:lvlJc w:val="left"/>
      <w:pPr>
        <w:ind w:left="531" w:hanging="360"/>
      </w:pPr>
      <w:rPr>
        <w:rFonts w:ascii="Times New Roman" w:eastAsia="Times New Roman" w:hAnsi="Times New Roman" w:hint="default"/>
        <w:sz w:val="24"/>
        <w:szCs w:val="24"/>
      </w:rPr>
    </w:lvl>
    <w:lvl w:ilvl="1" w:tplc="E020DD72">
      <w:start w:val="1"/>
      <w:numFmt w:val="bullet"/>
      <w:lvlText w:val="•"/>
      <w:lvlJc w:val="left"/>
      <w:pPr>
        <w:ind w:left="1235" w:hanging="360"/>
      </w:pPr>
      <w:rPr>
        <w:rFonts w:hint="default"/>
      </w:rPr>
    </w:lvl>
    <w:lvl w:ilvl="2" w:tplc="DF58D7BE">
      <w:start w:val="1"/>
      <w:numFmt w:val="bullet"/>
      <w:lvlText w:val="•"/>
      <w:lvlJc w:val="left"/>
      <w:pPr>
        <w:ind w:left="1938" w:hanging="360"/>
      </w:pPr>
      <w:rPr>
        <w:rFonts w:hint="default"/>
      </w:rPr>
    </w:lvl>
    <w:lvl w:ilvl="3" w:tplc="19F05E86">
      <w:start w:val="1"/>
      <w:numFmt w:val="bullet"/>
      <w:lvlText w:val="•"/>
      <w:lvlJc w:val="left"/>
      <w:pPr>
        <w:ind w:left="2641" w:hanging="360"/>
      </w:pPr>
      <w:rPr>
        <w:rFonts w:hint="default"/>
      </w:rPr>
    </w:lvl>
    <w:lvl w:ilvl="4" w:tplc="A73A100E">
      <w:start w:val="1"/>
      <w:numFmt w:val="bullet"/>
      <w:lvlText w:val="•"/>
      <w:lvlJc w:val="left"/>
      <w:pPr>
        <w:ind w:left="3345" w:hanging="360"/>
      </w:pPr>
      <w:rPr>
        <w:rFonts w:hint="default"/>
      </w:rPr>
    </w:lvl>
    <w:lvl w:ilvl="5" w:tplc="67A80936">
      <w:start w:val="1"/>
      <w:numFmt w:val="bullet"/>
      <w:lvlText w:val="•"/>
      <w:lvlJc w:val="left"/>
      <w:pPr>
        <w:ind w:left="4048" w:hanging="360"/>
      </w:pPr>
      <w:rPr>
        <w:rFonts w:hint="default"/>
      </w:rPr>
    </w:lvl>
    <w:lvl w:ilvl="6" w:tplc="ABBE46D2">
      <w:start w:val="1"/>
      <w:numFmt w:val="bullet"/>
      <w:lvlText w:val="•"/>
      <w:lvlJc w:val="left"/>
      <w:pPr>
        <w:ind w:left="4751" w:hanging="360"/>
      </w:pPr>
      <w:rPr>
        <w:rFonts w:hint="default"/>
      </w:rPr>
    </w:lvl>
    <w:lvl w:ilvl="7" w:tplc="4F002836">
      <w:start w:val="1"/>
      <w:numFmt w:val="bullet"/>
      <w:lvlText w:val="•"/>
      <w:lvlJc w:val="left"/>
      <w:pPr>
        <w:ind w:left="5455" w:hanging="360"/>
      </w:pPr>
      <w:rPr>
        <w:rFonts w:hint="default"/>
      </w:rPr>
    </w:lvl>
    <w:lvl w:ilvl="8" w:tplc="27D8CD02">
      <w:start w:val="1"/>
      <w:numFmt w:val="bullet"/>
      <w:lvlText w:val="•"/>
      <w:lvlJc w:val="left"/>
      <w:pPr>
        <w:ind w:left="6158" w:hanging="360"/>
      </w:pPr>
      <w:rPr>
        <w:rFonts w:hint="default"/>
      </w:rPr>
    </w:lvl>
  </w:abstractNum>
  <w:abstractNum w:abstractNumId="5" w15:restartNumberingAfterBreak="0">
    <w:nsid w:val="1E747610"/>
    <w:multiLevelType w:val="hybridMultilevel"/>
    <w:tmpl w:val="3A4037D2"/>
    <w:lvl w:ilvl="0" w:tplc="E1AADA3E">
      <w:start w:val="1"/>
      <w:numFmt w:val="decimal"/>
      <w:lvlText w:val="%1)"/>
      <w:lvlJc w:val="left"/>
      <w:pPr>
        <w:ind w:left="459" w:hanging="360"/>
      </w:pPr>
      <w:rPr>
        <w:rFonts w:ascii="Times New Roman" w:eastAsia="Times New Roman" w:hAnsi="Times New Roman" w:hint="default"/>
        <w:sz w:val="24"/>
        <w:szCs w:val="24"/>
      </w:rPr>
    </w:lvl>
    <w:lvl w:ilvl="1" w:tplc="33BAED1A">
      <w:start w:val="1"/>
      <w:numFmt w:val="bullet"/>
      <w:lvlText w:val="•"/>
      <w:lvlJc w:val="left"/>
      <w:pPr>
        <w:ind w:left="1170" w:hanging="360"/>
      </w:pPr>
      <w:rPr>
        <w:rFonts w:hint="default"/>
      </w:rPr>
    </w:lvl>
    <w:lvl w:ilvl="2" w:tplc="92FEB932">
      <w:start w:val="1"/>
      <w:numFmt w:val="bullet"/>
      <w:lvlText w:val="•"/>
      <w:lvlJc w:val="left"/>
      <w:pPr>
        <w:ind w:left="1880" w:hanging="360"/>
      </w:pPr>
      <w:rPr>
        <w:rFonts w:hint="default"/>
      </w:rPr>
    </w:lvl>
    <w:lvl w:ilvl="3" w:tplc="4EC2F6D6">
      <w:start w:val="1"/>
      <w:numFmt w:val="bullet"/>
      <w:lvlText w:val="•"/>
      <w:lvlJc w:val="left"/>
      <w:pPr>
        <w:ind w:left="2591" w:hanging="360"/>
      </w:pPr>
      <w:rPr>
        <w:rFonts w:hint="default"/>
      </w:rPr>
    </w:lvl>
    <w:lvl w:ilvl="4" w:tplc="0D32B794">
      <w:start w:val="1"/>
      <w:numFmt w:val="bullet"/>
      <w:lvlText w:val="•"/>
      <w:lvlJc w:val="left"/>
      <w:pPr>
        <w:ind w:left="3301" w:hanging="360"/>
      </w:pPr>
      <w:rPr>
        <w:rFonts w:hint="default"/>
      </w:rPr>
    </w:lvl>
    <w:lvl w:ilvl="5" w:tplc="5B74FEE6">
      <w:start w:val="1"/>
      <w:numFmt w:val="bullet"/>
      <w:lvlText w:val="•"/>
      <w:lvlJc w:val="left"/>
      <w:pPr>
        <w:ind w:left="4012" w:hanging="360"/>
      </w:pPr>
      <w:rPr>
        <w:rFonts w:hint="default"/>
      </w:rPr>
    </w:lvl>
    <w:lvl w:ilvl="6" w:tplc="7F2C1BD0">
      <w:start w:val="1"/>
      <w:numFmt w:val="bullet"/>
      <w:lvlText w:val="•"/>
      <w:lvlJc w:val="left"/>
      <w:pPr>
        <w:ind w:left="4723" w:hanging="360"/>
      </w:pPr>
      <w:rPr>
        <w:rFonts w:hint="default"/>
      </w:rPr>
    </w:lvl>
    <w:lvl w:ilvl="7" w:tplc="4030BE2E">
      <w:start w:val="1"/>
      <w:numFmt w:val="bullet"/>
      <w:lvlText w:val="•"/>
      <w:lvlJc w:val="left"/>
      <w:pPr>
        <w:ind w:left="5433" w:hanging="360"/>
      </w:pPr>
      <w:rPr>
        <w:rFonts w:hint="default"/>
      </w:rPr>
    </w:lvl>
    <w:lvl w:ilvl="8" w:tplc="A15E18C4">
      <w:start w:val="1"/>
      <w:numFmt w:val="bullet"/>
      <w:lvlText w:val="•"/>
      <w:lvlJc w:val="left"/>
      <w:pPr>
        <w:ind w:left="6144" w:hanging="360"/>
      </w:pPr>
      <w:rPr>
        <w:rFonts w:hint="default"/>
      </w:rPr>
    </w:lvl>
  </w:abstractNum>
  <w:abstractNum w:abstractNumId="6"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E49AC"/>
    <w:multiLevelType w:val="hybridMultilevel"/>
    <w:tmpl w:val="124EB62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78B26F4"/>
    <w:multiLevelType w:val="hybridMultilevel"/>
    <w:tmpl w:val="16F2C8B0"/>
    <w:lvl w:ilvl="0" w:tplc="BFDE1C3E">
      <w:start w:val="1"/>
      <w:numFmt w:val="decimal"/>
      <w:lvlText w:val="%1)"/>
      <w:lvlJc w:val="left"/>
      <w:pPr>
        <w:ind w:left="459" w:hanging="360"/>
      </w:pPr>
      <w:rPr>
        <w:rFonts w:ascii="Times New Roman" w:eastAsia="Times New Roman" w:hAnsi="Times New Roman" w:hint="default"/>
        <w:sz w:val="24"/>
        <w:szCs w:val="24"/>
      </w:rPr>
    </w:lvl>
    <w:lvl w:ilvl="1" w:tplc="F8B6ED90">
      <w:start w:val="1"/>
      <w:numFmt w:val="bullet"/>
      <w:lvlText w:val="•"/>
      <w:lvlJc w:val="left"/>
      <w:pPr>
        <w:ind w:left="1170" w:hanging="360"/>
      </w:pPr>
      <w:rPr>
        <w:rFonts w:hint="default"/>
      </w:rPr>
    </w:lvl>
    <w:lvl w:ilvl="2" w:tplc="440AC654">
      <w:start w:val="1"/>
      <w:numFmt w:val="bullet"/>
      <w:lvlText w:val="•"/>
      <w:lvlJc w:val="left"/>
      <w:pPr>
        <w:ind w:left="1880" w:hanging="360"/>
      </w:pPr>
      <w:rPr>
        <w:rFonts w:hint="default"/>
      </w:rPr>
    </w:lvl>
    <w:lvl w:ilvl="3" w:tplc="14624452">
      <w:start w:val="1"/>
      <w:numFmt w:val="bullet"/>
      <w:lvlText w:val="•"/>
      <w:lvlJc w:val="left"/>
      <w:pPr>
        <w:ind w:left="2591" w:hanging="360"/>
      </w:pPr>
      <w:rPr>
        <w:rFonts w:hint="default"/>
      </w:rPr>
    </w:lvl>
    <w:lvl w:ilvl="4" w:tplc="902A2386">
      <w:start w:val="1"/>
      <w:numFmt w:val="bullet"/>
      <w:lvlText w:val="•"/>
      <w:lvlJc w:val="left"/>
      <w:pPr>
        <w:ind w:left="3301" w:hanging="360"/>
      </w:pPr>
      <w:rPr>
        <w:rFonts w:hint="default"/>
      </w:rPr>
    </w:lvl>
    <w:lvl w:ilvl="5" w:tplc="3452AB7A">
      <w:start w:val="1"/>
      <w:numFmt w:val="bullet"/>
      <w:lvlText w:val="•"/>
      <w:lvlJc w:val="left"/>
      <w:pPr>
        <w:ind w:left="4012" w:hanging="360"/>
      </w:pPr>
      <w:rPr>
        <w:rFonts w:hint="default"/>
      </w:rPr>
    </w:lvl>
    <w:lvl w:ilvl="6" w:tplc="E384D440">
      <w:start w:val="1"/>
      <w:numFmt w:val="bullet"/>
      <w:lvlText w:val="•"/>
      <w:lvlJc w:val="left"/>
      <w:pPr>
        <w:ind w:left="4723" w:hanging="360"/>
      </w:pPr>
      <w:rPr>
        <w:rFonts w:hint="default"/>
      </w:rPr>
    </w:lvl>
    <w:lvl w:ilvl="7" w:tplc="1B7CE272">
      <w:start w:val="1"/>
      <w:numFmt w:val="bullet"/>
      <w:lvlText w:val="•"/>
      <w:lvlJc w:val="left"/>
      <w:pPr>
        <w:ind w:left="5433" w:hanging="360"/>
      </w:pPr>
      <w:rPr>
        <w:rFonts w:hint="default"/>
      </w:rPr>
    </w:lvl>
    <w:lvl w:ilvl="8" w:tplc="ED0EE140">
      <w:start w:val="1"/>
      <w:numFmt w:val="bullet"/>
      <w:lvlText w:val="•"/>
      <w:lvlJc w:val="left"/>
      <w:pPr>
        <w:ind w:left="6144" w:hanging="360"/>
      </w:pPr>
      <w:rPr>
        <w:rFonts w:hint="default"/>
      </w:rPr>
    </w:lvl>
  </w:abstractNum>
  <w:abstractNum w:abstractNumId="9" w15:restartNumberingAfterBreak="0">
    <w:nsid w:val="2EBC0EC7"/>
    <w:multiLevelType w:val="hybridMultilevel"/>
    <w:tmpl w:val="3D7ACCF2"/>
    <w:lvl w:ilvl="0" w:tplc="08364FAE">
      <w:start w:val="1"/>
      <w:numFmt w:val="decimal"/>
      <w:lvlText w:val="%1)"/>
      <w:lvlJc w:val="left"/>
      <w:pPr>
        <w:ind w:left="450" w:hanging="360"/>
      </w:pPr>
      <w:rPr>
        <w:rFonts w:ascii="Times New Roman" w:eastAsia="Times New Roman" w:hAnsi="Times New Roman" w:hint="default"/>
        <w:sz w:val="24"/>
        <w:szCs w:val="24"/>
      </w:rPr>
    </w:lvl>
    <w:lvl w:ilvl="1" w:tplc="4B5A0CD4">
      <w:start w:val="1"/>
      <w:numFmt w:val="bullet"/>
      <w:lvlText w:val="•"/>
      <w:lvlJc w:val="left"/>
      <w:pPr>
        <w:ind w:left="1161" w:hanging="360"/>
      </w:pPr>
      <w:rPr>
        <w:rFonts w:hint="default"/>
      </w:rPr>
    </w:lvl>
    <w:lvl w:ilvl="2" w:tplc="8F82FC94">
      <w:start w:val="1"/>
      <w:numFmt w:val="bullet"/>
      <w:lvlText w:val="•"/>
      <w:lvlJc w:val="left"/>
      <w:pPr>
        <w:ind w:left="1873" w:hanging="360"/>
      </w:pPr>
      <w:rPr>
        <w:rFonts w:hint="default"/>
      </w:rPr>
    </w:lvl>
    <w:lvl w:ilvl="3" w:tplc="7786E338">
      <w:start w:val="1"/>
      <w:numFmt w:val="bullet"/>
      <w:lvlText w:val="•"/>
      <w:lvlJc w:val="left"/>
      <w:pPr>
        <w:ind w:left="2584" w:hanging="360"/>
      </w:pPr>
      <w:rPr>
        <w:rFonts w:hint="default"/>
      </w:rPr>
    </w:lvl>
    <w:lvl w:ilvl="4" w:tplc="80F83C42">
      <w:start w:val="1"/>
      <w:numFmt w:val="bullet"/>
      <w:lvlText w:val="•"/>
      <w:lvlJc w:val="left"/>
      <w:pPr>
        <w:ind w:left="3296" w:hanging="360"/>
      </w:pPr>
      <w:rPr>
        <w:rFonts w:hint="default"/>
      </w:rPr>
    </w:lvl>
    <w:lvl w:ilvl="5" w:tplc="12E68282">
      <w:start w:val="1"/>
      <w:numFmt w:val="bullet"/>
      <w:lvlText w:val="•"/>
      <w:lvlJc w:val="left"/>
      <w:pPr>
        <w:ind w:left="4007" w:hanging="360"/>
      </w:pPr>
      <w:rPr>
        <w:rFonts w:hint="default"/>
      </w:rPr>
    </w:lvl>
    <w:lvl w:ilvl="6" w:tplc="397EE736">
      <w:start w:val="1"/>
      <w:numFmt w:val="bullet"/>
      <w:lvlText w:val="•"/>
      <w:lvlJc w:val="left"/>
      <w:pPr>
        <w:ind w:left="4719" w:hanging="360"/>
      </w:pPr>
      <w:rPr>
        <w:rFonts w:hint="default"/>
      </w:rPr>
    </w:lvl>
    <w:lvl w:ilvl="7" w:tplc="9D623CCE">
      <w:start w:val="1"/>
      <w:numFmt w:val="bullet"/>
      <w:lvlText w:val="•"/>
      <w:lvlJc w:val="left"/>
      <w:pPr>
        <w:ind w:left="5430" w:hanging="360"/>
      </w:pPr>
      <w:rPr>
        <w:rFonts w:hint="default"/>
      </w:rPr>
    </w:lvl>
    <w:lvl w:ilvl="8" w:tplc="3018698C">
      <w:start w:val="1"/>
      <w:numFmt w:val="bullet"/>
      <w:lvlText w:val="•"/>
      <w:lvlJc w:val="left"/>
      <w:pPr>
        <w:ind w:left="6142" w:hanging="360"/>
      </w:pPr>
      <w:rPr>
        <w:rFonts w:hint="default"/>
      </w:rPr>
    </w:lvl>
  </w:abstractNum>
  <w:abstractNum w:abstractNumId="10"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61679C"/>
    <w:multiLevelType w:val="hybridMultilevel"/>
    <w:tmpl w:val="32E038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B329DB"/>
    <w:multiLevelType w:val="hybridMultilevel"/>
    <w:tmpl w:val="E82EBCE2"/>
    <w:lvl w:ilvl="0" w:tplc="D57C9D7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6452D"/>
    <w:multiLevelType w:val="hybridMultilevel"/>
    <w:tmpl w:val="1310CCDC"/>
    <w:lvl w:ilvl="0" w:tplc="C2806378">
      <w:start w:val="1"/>
      <w:numFmt w:val="decimal"/>
      <w:lvlText w:val="%1)"/>
      <w:lvlJc w:val="left"/>
      <w:pPr>
        <w:ind w:left="1136" w:hanging="360"/>
      </w:pPr>
      <w:rPr>
        <w:rFonts w:asciiTheme="minorHAnsi" w:eastAsia="Times New Roman" w:hAnsiTheme="minorHAnsi" w:cstheme="minorHAnsi" w:hint="default"/>
        <w:sz w:val="22"/>
        <w:szCs w:val="22"/>
      </w:rPr>
    </w:lvl>
    <w:lvl w:ilvl="1" w:tplc="53985874">
      <w:start w:val="1"/>
      <w:numFmt w:val="bullet"/>
      <w:lvlText w:val="•"/>
      <w:lvlJc w:val="left"/>
      <w:pPr>
        <w:ind w:left="1830" w:hanging="360"/>
      </w:pPr>
      <w:rPr>
        <w:rFonts w:hint="default"/>
      </w:rPr>
    </w:lvl>
    <w:lvl w:ilvl="2" w:tplc="DCAA0B3E">
      <w:start w:val="1"/>
      <w:numFmt w:val="bullet"/>
      <w:lvlText w:val="•"/>
      <w:lvlJc w:val="left"/>
      <w:pPr>
        <w:ind w:left="2525" w:hanging="360"/>
      </w:pPr>
      <w:rPr>
        <w:rFonts w:hint="default"/>
      </w:rPr>
    </w:lvl>
    <w:lvl w:ilvl="3" w:tplc="B31A610A">
      <w:start w:val="1"/>
      <w:numFmt w:val="bullet"/>
      <w:lvlText w:val="•"/>
      <w:lvlJc w:val="left"/>
      <w:pPr>
        <w:ind w:left="3220" w:hanging="360"/>
      </w:pPr>
      <w:rPr>
        <w:rFonts w:hint="default"/>
      </w:rPr>
    </w:lvl>
    <w:lvl w:ilvl="4" w:tplc="22989E40">
      <w:start w:val="1"/>
      <w:numFmt w:val="bullet"/>
      <w:lvlText w:val="•"/>
      <w:lvlJc w:val="left"/>
      <w:pPr>
        <w:ind w:left="3915" w:hanging="360"/>
      </w:pPr>
      <w:rPr>
        <w:rFonts w:hint="default"/>
      </w:rPr>
    </w:lvl>
    <w:lvl w:ilvl="5" w:tplc="989AED56">
      <w:start w:val="1"/>
      <w:numFmt w:val="bullet"/>
      <w:lvlText w:val="•"/>
      <w:lvlJc w:val="left"/>
      <w:pPr>
        <w:ind w:left="4609" w:hanging="360"/>
      </w:pPr>
      <w:rPr>
        <w:rFonts w:hint="default"/>
      </w:rPr>
    </w:lvl>
    <w:lvl w:ilvl="6" w:tplc="BC6C2752">
      <w:start w:val="1"/>
      <w:numFmt w:val="bullet"/>
      <w:lvlText w:val="•"/>
      <w:lvlJc w:val="left"/>
      <w:pPr>
        <w:ind w:left="5304" w:hanging="360"/>
      </w:pPr>
      <w:rPr>
        <w:rFonts w:hint="default"/>
      </w:rPr>
    </w:lvl>
    <w:lvl w:ilvl="7" w:tplc="F5208608">
      <w:start w:val="1"/>
      <w:numFmt w:val="bullet"/>
      <w:lvlText w:val="•"/>
      <w:lvlJc w:val="left"/>
      <w:pPr>
        <w:ind w:left="5999" w:hanging="360"/>
      </w:pPr>
      <w:rPr>
        <w:rFonts w:hint="default"/>
      </w:rPr>
    </w:lvl>
    <w:lvl w:ilvl="8" w:tplc="471211E6">
      <w:start w:val="1"/>
      <w:numFmt w:val="bullet"/>
      <w:lvlText w:val="•"/>
      <w:lvlJc w:val="left"/>
      <w:pPr>
        <w:ind w:left="6693" w:hanging="360"/>
      </w:pPr>
      <w:rPr>
        <w:rFonts w:hint="default"/>
      </w:rPr>
    </w:lvl>
  </w:abstractNum>
  <w:abstractNum w:abstractNumId="15" w15:restartNumberingAfterBreak="0">
    <w:nsid w:val="5D221E6B"/>
    <w:multiLevelType w:val="hybridMultilevel"/>
    <w:tmpl w:val="2F1E172C"/>
    <w:lvl w:ilvl="0" w:tplc="7658AE92">
      <w:start w:val="1"/>
      <w:numFmt w:val="decimal"/>
      <w:lvlText w:val="%1)"/>
      <w:lvlJc w:val="left"/>
      <w:pPr>
        <w:ind w:left="459" w:hanging="360"/>
      </w:pPr>
      <w:rPr>
        <w:rFonts w:ascii="Times New Roman" w:eastAsia="Times New Roman" w:hAnsi="Times New Roman" w:hint="default"/>
        <w:sz w:val="24"/>
        <w:szCs w:val="24"/>
      </w:rPr>
    </w:lvl>
    <w:lvl w:ilvl="1" w:tplc="AB10196A">
      <w:start w:val="1"/>
      <w:numFmt w:val="bullet"/>
      <w:lvlText w:val="•"/>
      <w:lvlJc w:val="left"/>
      <w:pPr>
        <w:ind w:left="1170" w:hanging="360"/>
      </w:pPr>
      <w:rPr>
        <w:rFonts w:hint="default"/>
      </w:rPr>
    </w:lvl>
    <w:lvl w:ilvl="2" w:tplc="630661AC">
      <w:start w:val="1"/>
      <w:numFmt w:val="bullet"/>
      <w:lvlText w:val="•"/>
      <w:lvlJc w:val="left"/>
      <w:pPr>
        <w:ind w:left="1880" w:hanging="360"/>
      </w:pPr>
      <w:rPr>
        <w:rFonts w:hint="default"/>
      </w:rPr>
    </w:lvl>
    <w:lvl w:ilvl="3" w:tplc="8D8A70A4">
      <w:start w:val="1"/>
      <w:numFmt w:val="bullet"/>
      <w:lvlText w:val="•"/>
      <w:lvlJc w:val="left"/>
      <w:pPr>
        <w:ind w:left="2591" w:hanging="360"/>
      </w:pPr>
      <w:rPr>
        <w:rFonts w:hint="default"/>
      </w:rPr>
    </w:lvl>
    <w:lvl w:ilvl="4" w:tplc="B8449D14">
      <w:start w:val="1"/>
      <w:numFmt w:val="bullet"/>
      <w:lvlText w:val="•"/>
      <w:lvlJc w:val="left"/>
      <w:pPr>
        <w:ind w:left="3301" w:hanging="360"/>
      </w:pPr>
      <w:rPr>
        <w:rFonts w:hint="default"/>
      </w:rPr>
    </w:lvl>
    <w:lvl w:ilvl="5" w:tplc="84D6841E">
      <w:start w:val="1"/>
      <w:numFmt w:val="bullet"/>
      <w:lvlText w:val="•"/>
      <w:lvlJc w:val="left"/>
      <w:pPr>
        <w:ind w:left="4012" w:hanging="360"/>
      </w:pPr>
      <w:rPr>
        <w:rFonts w:hint="default"/>
      </w:rPr>
    </w:lvl>
    <w:lvl w:ilvl="6" w:tplc="D9A6650E">
      <w:start w:val="1"/>
      <w:numFmt w:val="bullet"/>
      <w:lvlText w:val="•"/>
      <w:lvlJc w:val="left"/>
      <w:pPr>
        <w:ind w:left="4723" w:hanging="360"/>
      </w:pPr>
      <w:rPr>
        <w:rFonts w:hint="default"/>
      </w:rPr>
    </w:lvl>
    <w:lvl w:ilvl="7" w:tplc="4B402EFC">
      <w:start w:val="1"/>
      <w:numFmt w:val="bullet"/>
      <w:lvlText w:val="•"/>
      <w:lvlJc w:val="left"/>
      <w:pPr>
        <w:ind w:left="5433" w:hanging="360"/>
      </w:pPr>
      <w:rPr>
        <w:rFonts w:hint="default"/>
      </w:rPr>
    </w:lvl>
    <w:lvl w:ilvl="8" w:tplc="FA1CBEA4">
      <w:start w:val="1"/>
      <w:numFmt w:val="bullet"/>
      <w:lvlText w:val="•"/>
      <w:lvlJc w:val="left"/>
      <w:pPr>
        <w:ind w:left="6144" w:hanging="360"/>
      </w:pPr>
      <w:rPr>
        <w:rFonts w:hint="default"/>
      </w:rPr>
    </w:lvl>
  </w:abstractNum>
  <w:abstractNum w:abstractNumId="16"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057C9"/>
    <w:multiLevelType w:val="hybridMultilevel"/>
    <w:tmpl w:val="8E0258A2"/>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5643E3"/>
    <w:multiLevelType w:val="hybridMultilevel"/>
    <w:tmpl w:val="542CB566"/>
    <w:lvl w:ilvl="0" w:tplc="1396C9F8">
      <w:start w:val="3"/>
      <w:numFmt w:val="low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71C77"/>
    <w:multiLevelType w:val="hybridMultilevel"/>
    <w:tmpl w:val="B504F488"/>
    <w:lvl w:ilvl="0" w:tplc="BDF04C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116DEF"/>
    <w:multiLevelType w:val="hybridMultilevel"/>
    <w:tmpl w:val="8098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A69A0"/>
    <w:multiLevelType w:val="hybridMultilevel"/>
    <w:tmpl w:val="C9486D48"/>
    <w:lvl w:ilvl="0" w:tplc="D74031E2">
      <w:start w:val="4"/>
      <w:numFmt w:val="lowerLetter"/>
      <w:lvlText w:val="%1."/>
      <w:lvlJc w:val="left"/>
      <w:pPr>
        <w:ind w:left="1080" w:hanging="360"/>
      </w:pPr>
      <w:rPr>
        <w:rFonts w:ascii="Times New Roman" w:hAnsi="Times New Roman"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10"/>
  </w:num>
  <w:num w:numId="4">
    <w:abstractNumId w:val="17"/>
  </w:num>
  <w:num w:numId="5">
    <w:abstractNumId w:val="3"/>
  </w:num>
  <w:num w:numId="6">
    <w:abstractNumId w:val="16"/>
  </w:num>
  <w:num w:numId="7">
    <w:abstractNumId w:val="2"/>
  </w:num>
  <w:num w:numId="8">
    <w:abstractNumId w:val="5"/>
  </w:num>
  <w:num w:numId="9">
    <w:abstractNumId w:val="8"/>
  </w:num>
  <w:num w:numId="10">
    <w:abstractNumId w:val="12"/>
  </w:num>
  <w:num w:numId="11">
    <w:abstractNumId w:val="15"/>
  </w:num>
  <w:num w:numId="12">
    <w:abstractNumId w:val="21"/>
  </w:num>
  <w:num w:numId="13">
    <w:abstractNumId w:val="18"/>
  </w:num>
  <w:num w:numId="14">
    <w:abstractNumId w:val="11"/>
  </w:num>
  <w:num w:numId="15">
    <w:abstractNumId w:val="9"/>
  </w:num>
  <w:num w:numId="16">
    <w:abstractNumId w:val="4"/>
  </w:num>
  <w:num w:numId="17">
    <w:abstractNumId w:val="20"/>
  </w:num>
  <w:num w:numId="18">
    <w:abstractNumId w:val="19"/>
  </w:num>
  <w:num w:numId="19">
    <w:abstractNumId w:val="14"/>
  </w:num>
  <w:num w:numId="20">
    <w:abstractNumId w:val="7"/>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144C1"/>
    <w:rsid w:val="00016F3C"/>
    <w:rsid w:val="000524CE"/>
    <w:rsid w:val="00080714"/>
    <w:rsid w:val="00090844"/>
    <w:rsid w:val="00095EF9"/>
    <w:rsid w:val="000A00BA"/>
    <w:rsid w:val="000E1F27"/>
    <w:rsid w:val="000E3E63"/>
    <w:rsid w:val="0010441D"/>
    <w:rsid w:val="00114840"/>
    <w:rsid w:val="00120BAD"/>
    <w:rsid w:val="0012334D"/>
    <w:rsid w:val="001357D5"/>
    <w:rsid w:val="001503A6"/>
    <w:rsid w:val="00150CFF"/>
    <w:rsid w:val="001512EE"/>
    <w:rsid w:val="0015136E"/>
    <w:rsid w:val="001562B7"/>
    <w:rsid w:val="00157A23"/>
    <w:rsid w:val="00166D19"/>
    <w:rsid w:val="0019011C"/>
    <w:rsid w:val="001A1637"/>
    <w:rsid w:val="001A57D4"/>
    <w:rsid w:val="001B741C"/>
    <w:rsid w:val="001E0F59"/>
    <w:rsid w:val="00207D2F"/>
    <w:rsid w:val="00226D2C"/>
    <w:rsid w:val="00236D2F"/>
    <w:rsid w:val="00240C57"/>
    <w:rsid w:val="00241EDE"/>
    <w:rsid w:val="002478D7"/>
    <w:rsid w:val="00264684"/>
    <w:rsid w:val="0029245B"/>
    <w:rsid w:val="00295C76"/>
    <w:rsid w:val="002B0F44"/>
    <w:rsid w:val="002B3FEF"/>
    <w:rsid w:val="002D2C82"/>
    <w:rsid w:val="002D4956"/>
    <w:rsid w:val="002E2CEF"/>
    <w:rsid w:val="002E618A"/>
    <w:rsid w:val="002F3837"/>
    <w:rsid w:val="0030050A"/>
    <w:rsid w:val="003007B0"/>
    <w:rsid w:val="003141E0"/>
    <w:rsid w:val="00340303"/>
    <w:rsid w:val="00351117"/>
    <w:rsid w:val="00354E8D"/>
    <w:rsid w:val="00372DE7"/>
    <w:rsid w:val="00384339"/>
    <w:rsid w:val="00387DBC"/>
    <w:rsid w:val="0039230D"/>
    <w:rsid w:val="003A1538"/>
    <w:rsid w:val="003B339D"/>
    <w:rsid w:val="003B4E6D"/>
    <w:rsid w:val="003E2EA3"/>
    <w:rsid w:val="003E40DC"/>
    <w:rsid w:val="003E5559"/>
    <w:rsid w:val="004154D8"/>
    <w:rsid w:val="004350DB"/>
    <w:rsid w:val="00436055"/>
    <w:rsid w:val="00440109"/>
    <w:rsid w:val="00441632"/>
    <w:rsid w:val="004424B4"/>
    <w:rsid w:val="004472B0"/>
    <w:rsid w:val="00491888"/>
    <w:rsid w:val="004D0CFF"/>
    <w:rsid w:val="004D7F7E"/>
    <w:rsid w:val="004D7F9D"/>
    <w:rsid w:val="004F7058"/>
    <w:rsid w:val="00523CCA"/>
    <w:rsid w:val="005368B1"/>
    <w:rsid w:val="005622E9"/>
    <w:rsid w:val="005943D8"/>
    <w:rsid w:val="005A2388"/>
    <w:rsid w:val="005C01FE"/>
    <w:rsid w:val="005C7E62"/>
    <w:rsid w:val="005D45FD"/>
    <w:rsid w:val="005E616F"/>
    <w:rsid w:val="005F1957"/>
    <w:rsid w:val="005F1E8C"/>
    <w:rsid w:val="00602931"/>
    <w:rsid w:val="00625432"/>
    <w:rsid w:val="00627846"/>
    <w:rsid w:val="00632DAB"/>
    <w:rsid w:val="0063347B"/>
    <w:rsid w:val="00646BEC"/>
    <w:rsid w:val="006620E7"/>
    <w:rsid w:val="00682992"/>
    <w:rsid w:val="006A0D1B"/>
    <w:rsid w:val="006D7A8F"/>
    <w:rsid w:val="00702CED"/>
    <w:rsid w:val="00703BCD"/>
    <w:rsid w:val="00715DAB"/>
    <w:rsid w:val="007256A3"/>
    <w:rsid w:val="007547D2"/>
    <w:rsid w:val="0075761B"/>
    <w:rsid w:val="007710A9"/>
    <w:rsid w:val="007822AD"/>
    <w:rsid w:val="00785A78"/>
    <w:rsid w:val="00786EFD"/>
    <w:rsid w:val="007A60B1"/>
    <w:rsid w:val="007C09E8"/>
    <w:rsid w:val="00800627"/>
    <w:rsid w:val="008221D8"/>
    <w:rsid w:val="00826E56"/>
    <w:rsid w:val="00870613"/>
    <w:rsid w:val="0089315C"/>
    <w:rsid w:val="00894AF6"/>
    <w:rsid w:val="00895B8A"/>
    <w:rsid w:val="008A33F9"/>
    <w:rsid w:val="008A59FC"/>
    <w:rsid w:val="008D5BB8"/>
    <w:rsid w:val="008F2729"/>
    <w:rsid w:val="00904011"/>
    <w:rsid w:val="00906565"/>
    <w:rsid w:val="00924961"/>
    <w:rsid w:val="00932C56"/>
    <w:rsid w:val="0093686E"/>
    <w:rsid w:val="00964413"/>
    <w:rsid w:val="00965D18"/>
    <w:rsid w:val="009718D6"/>
    <w:rsid w:val="009811F4"/>
    <w:rsid w:val="00992833"/>
    <w:rsid w:val="009B4022"/>
    <w:rsid w:val="009C7FB8"/>
    <w:rsid w:val="009D1152"/>
    <w:rsid w:val="00A01CAA"/>
    <w:rsid w:val="00A44C37"/>
    <w:rsid w:val="00A45AF9"/>
    <w:rsid w:val="00A76830"/>
    <w:rsid w:val="00A76FE6"/>
    <w:rsid w:val="00AA0AB3"/>
    <w:rsid w:val="00AC4A4E"/>
    <w:rsid w:val="00AE7A2A"/>
    <w:rsid w:val="00B02B67"/>
    <w:rsid w:val="00B0711F"/>
    <w:rsid w:val="00B14CD0"/>
    <w:rsid w:val="00B17253"/>
    <w:rsid w:val="00B2626C"/>
    <w:rsid w:val="00B43AEE"/>
    <w:rsid w:val="00B56972"/>
    <w:rsid w:val="00B71B38"/>
    <w:rsid w:val="00B7420D"/>
    <w:rsid w:val="00B75D30"/>
    <w:rsid w:val="00B77A28"/>
    <w:rsid w:val="00B83DFE"/>
    <w:rsid w:val="00B92175"/>
    <w:rsid w:val="00BB1DE0"/>
    <w:rsid w:val="00BB7877"/>
    <w:rsid w:val="00BC2ACD"/>
    <w:rsid w:val="00BD273D"/>
    <w:rsid w:val="00BF0BDB"/>
    <w:rsid w:val="00BF0E69"/>
    <w:rsid w:val="00C03FB4"/>
    <w:rsid w:val="00C264CA"/>
    <w:rsid w:val="00C2743B"/>
    <w:rsid w:val="00C666A6"/>
    <w:rsid w:val="00C87608"/>
    <w:rsid w:val="00C97A62"/>
    <w:rsid w:val="00CA6898"/>
    <w:rsid w:val="00CC4FD4"/>
    <w:rsid w:val="00CD6516"/>
    <w:rsid w:val="00CE2C57"/>
    <w:rsid w:val="00CE6479"/>
    <w:rsid w:val="00CF178D"/>
    <w:rsid w:val="00CF5C32"/>
    <w:rsid w:val="00D0246A"/>
    <w:rsid w:val="00D11BEE"/>
    <w:rsid w:val="00D37A79"/>
    <w:rsid w:val="00D50C70"/>
    <w:rsid w:val="00D7056D"/>
    <w:rsid w:val="00D7120F"/>
    <w:rsid w:val="00D723EB"/>
    <w:rsid w:val="00D72425"/>
    <w:rsid w:val="00D848F5"/>
    <w:rsid w:val="00DA4F07"/>
    <w:rsid w:val="00DB6191"/>
    <w:rsid w:val="00DB6B20"/>
    <w:rsid w:val="00DC63DE"/>
    <w:rsid w:val="00DD5FA4"/>
    <w:rsid w:val="00E0358F"/>
    <w:rsid w:val="00E066B8"/>
    <w:rsid w:val="00E067A6"/>
    <w:rsid w:val="00E16148"/>
    <w:rsid w:val="00E34CA2"/>
    <w:rsid w:val="00E378E3"/>
    <w:rsid w:val="00E43B9A"/>
    <w:rsid w:val="00E44A2C"/>
    <w:rsid w:val="00E4591D"/>
    <w:rsid w:val="00E54934"/>
    <w:rsid w:val="00E57CE2"/>
    <w:rsid w:val="00E623E4"/>
    <w:rsid w:val="00E8752D"/>
    <w:rsid w:val="00E908CE"/>
    <w:rsid w:val="00EC6E64"/>
    <w:rsid w:val="00ED3880"/>
    <w:rsid w:val="00F00BD9"/>
    <w:rsid w:val="00F01EB6"/>
    <w:rsid w:val="00F2036E"/>
    <w:rsid w:val="00F23A3F"/>
    <w:rsid w:val="00F350FD"/>
    <w:rsid w:val="00F35E2E"/>
    <w:rsid w:val="00F4698D"/>
    <w:rsid w:val="00F562C8"/>
    <w:rsid w:val="00F647DB"/>
    <w:rsid w:val="00F64C61"/>
    <w:rsid w:val="00F73D15"/>
    <w:rsid w:val="00F81991"/>
    <w:rsid w:val="00F83426"/>
    <w:rsid w:val="00F8711B"/>
    <w:rsid w:val="00F935E8"/>
    <w:rsid w:val="00FB13AE"/>
    <w:rsid w:val="00FC30FA"/>
    <w:rsid w:val="00FC5A80"/>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E96DDBB"/>
  <w15:chartTrackingRefBased/>
  <w15:docId w15:val="{DA0D7582-447B-4994-BD99-97AA5054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95C76"/>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95C76"/>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95C7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295C76"/>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295C7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95C76"/>
    <w:rPr>
      <w:rFonts w:asciiTheme="majorHAnsi" w:eastAsiaTheme="majorEastAsia" w:hAnsiTheme="majorHAnsi" w:cstheme="majorBidi"/>
      <w:color w:val="2F5496" w:themeColor="accent5"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1"/>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964413"/>
    <w:rPr>
      <w:rFonts w:ascii="Arial" w:hAnsi="Arial" w:cs="Arial"/>
      <w:sz w:val="20"/>
      <w:szCs w:val="20"/>
      <w:lang w:bidi="en-US"/>
    </w:rPr>
  </w:style>
  <w:style w:type="character" w:styleId="CommentReference">
    <w:name w:val="annotation reference"/>
    <w:basedOn w:val="DefaultParagraphFont"/>
    <w:uiPriority w:val="99"/>
    <w:semiHidden/>
    <w:unhideWhenUsed/>
    <w:rsid w:val="007C09E8"/>
    <w:rPr>
      <w:sz w:val="16"/>
      <w:szCs w:val="16"/>
    </w:rPr>
  </w:style>
  <w:style w:type="paragraph" w:styleId="CommentText">
    <w:name w:val="annotation text"/>
    <w:basedOn w:val="Normal"/>
    <w:link w:val="CommentTextChar"/>
    <w:uiPriority w:val="99"/>
    <w:unhideWhenUsed/>
    <w:rsid w:val="007C09E8"/>
    <w:pPr>
      <w:spacing w:line="240" w:lineRule="auto"/>
    </w:pPr>
    <w:rPr>
      <w:sz w:val="20"/>
      <w:szCs w:val="20"/>
    </w:rPr>
  </w:style>
  <w:style w:type="character" w:customStyle="1" w:styleId="CommentTextChar">
    <w:name w:val="Comment Text Char"/>
    <w:basedOn w:val="DefaultParagraphFont"/>
    <w:link w:val="CommentText"/>
    <w:uiPriority w:val="99"/>
    <w:rsid w:val="007C09E8"/>
    <w:rPr>
      <w:sz w:val="20"/>
      <w:szCs w:val="20"/>
    </w:rPr>
  </w:style>
  <w:style w:type="paragraph" w:styleId="CommentSubject">
    <w:name w:val="annotation subject"/>
    <w:basedOn w:val="CommentText"/>
    <w:next w:val="CommentText"/>
    <w:link w:val="CommentSubjectChar"/>
    <w:uiPriority w:val="99"/>
    <w:semiHidden/>
    <w:unhideWhenUsed/>
    <w:rsid w:val="007C09E8"/>
    <w:rPr>
      <w:b/>
      <w:bCs/>
    </w:rPr>
  </w:style>
  <w:style w:type="character" w:customStyle="1" w:styleId="CommentSubjectChar">
    <w:name w:val="Comment Subject Char"/>
    <w:basedOn w:val="CommentTextChar"/>
    <w:link w:val="CommentSubject"/>
    <w:uiPriority w:val="99"/>
    <w:semiHidden/>
    <w:rsid w:val="007C09E8"/>
    <w:rPr>
      <w:b/>
      <w:bCs/>
      <w:sz w:val="20"/>
      <w:szCs w:val="20"/>
    </w:rPr>
  </w:style>
  <w:style w:type="paragraph" w:customStyle="1" w:styleId="TableParagraph">
    <w:name w:val="Table Paragraph"/>
    <w:basedOn w:val="Normal"/>
    <w:uiPriority w:val="1"/>
    <w:qFormat/>
    <w:rsid w:val="00D11BEE"/>
    <w:pPr>
      <w:widowControl w:val="0"/>
      <w:spacing w:after="0" w:line="240" w:lineRule="auto"/>
    </w:pPr>
  </w:style>
  <w:style w:type="character" w:styleId="Strong">
    <w:name w:val="Strong"/>
    <w:basedOn w:val="DefaultParagraphFont"/>
    <w:uiPriority w:val="22"/>
    <w:qFormat/>
    <w:rsid w:val="00E57CE2"/>
    <w:rPr>
      <w:b/>
      <w:bCs/>
    </w:rPr>
  </w:style>
  <w:style w:type="character" w:styleId="Emphasis">
    <w:name w:val="Emphasis"/>
    <w:basedOn w:val="DefaultParagraphFont"/>
    <w:uiPriority w:val="20"/>
    <w:qFormat/>
    <w:rsid w:val="00E57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19633">
      <w:bodyDiv w:val="1"/>
      <w:marLeft w:val="0"/>
      <w:marRight w:val="0"/>
      <w:marTop w:val="0"/>
      <w:marBottom w:val="0"/>
      <w:divBdr>
        <w:top w:val="none" w:sz="0" w:space="0" w:color="auto"/>
        <w:left w:val="none" w:sz="0" w:space="0" w:color="auto"/>
        <w:bottom w:val="none" w:sz="0" w:space="0" w:color="auto"/>
        <w:right w:val="none" w:sz="0" w:space="0" w:color="auto"/>
      </w:divBdr>
      <w:divsChild>
        <w:div w:id="1070732234">
          <w:marLeft w:val="0"/>
          <w:marRight w:val="0"/>
          <w:marTop w:val="0"/>
          <w:marBottom w:val="0"/>
          <w:divBdr>
            <w:top w:val="none" w:sz="0" w:space="0" w:color="auto"/>
            <w:left w:val="none" w:sz="0" w:space="0" w:color="auto"/>
            <w:bottom w:val="none" w:sz="0" w:space="0" w:color="auto"/>
            <w:right w:val="none" w:sz="0" w:space="0" w:color="auto"/>
          </w:divBdr>
          <w:divsChild>
            <w:div w:id="1024482359">
              <w:marLeft w:val="0"/>
              <w:marRight w:val="0"/>
              <w:marTop w:val="0"/>
              <w:marBottom w:val="0"/>
              <w:divBdr>
                <w:top w:val="none" w:sz="0" w:space="0" w:color="auto"/>
                <w:left w:val="none" w:sz="0" w:space="0" w:color="auto"/>
                <w:bottom w:val="none" w:sz="0" w:space="0" w:color="auto"/>
                <w:right w:val="none" w:sz="0" w:space="0" w:color="auto"/>
              </w:divBdr>
              <w:divsChild>
                <w:div w:id="1137406629">
                  <w:marLeft w:val="0"/>
                  <w:marRight w:val="0"/>
                  <w:marTop w:val="0"/>
                  <w:marBottom w:val="0"/>
                  <w:divBdr>
                    <w:top w:val="none" w:sz="0" w:space="0" w:color="auto"/>
                    <w:left w:val="none" w:sz="0" w:space="0" w:color="auto"/>
                    <w:bottom w:val="none" w:sz="0" w:space="0" w:color="auto"/>
                    <w:right w:val="none" w:sz="0" w:space="0" w:color="auto"/>
                  </w:divBdr>
                  <w:divsChild>
                    <w:div w:id="1392849091">
                      <w:marLeft w:val="-225"/>
                      <w:marRight w:val="-225"/>
                      <w:marTop w:val="0"/>
                      <w:marBottom w:val="0"/>
                      <w:divBdr>
                        <w:top w:val="none" w:sz="0" w:space="0" w:color="auto"/>
                        <w:left w:val="none" w:sz="0" w:space="0" w:color="auto"/>
                        <w:bottom w:val="none" w:sz="0" w:space="0" w:color="auto"/>
                        <w:right w:val="none" w:sz="0" w:space="0" w:color="auto"/>
                      </w:divBdr>
                      <w:divsChild>
                        <w:div w:id="1899659091">
                          <w:marLeft w:val="0"/>
                          <w:marRight w:val="0"/>
                          <w:marTop w:val="0"/>
                          <w:marBottom w:val="0"/>
                          <w:divBdr>
                            <w:top w:val="none" w:sz="0" w:space="0" w:color="auto"/>
                            <w:left w:val="none" w:sz="0" w:space="0" w:color="auto"/>
                            <w:bottom w:val="none" w:sz="0" w:space="0" w:color="auto"/>
                            <w:right w:val="none" w:sz="0" w:space="0" w:color="auto"/>
                          </w:divBdr>
                          <w:divsChild>
                            <w:div w:id="1379285486">
                              <w:marLeft w:val="0"/>
                              <w:marRight w:val="0"/>
                              <w:marTop w:val="0"/>
                              <w:marBottom w:val="0"/>
                              <w:divBdr>
                                <w:top w:val="none" w:sz="0" w:space="0" w:color="auto"/>
                                <w:left w:val="none" w:sz="0" w:space="0" w:color="auto"/>
                                <w:bottom w:val="none" w:sz="0" w:space="0" w:color="auto"/>
                                <w:right w:val="none" w:sz="0" w:space="0" w:color="auto"/>
                              </w:divBdr>
                              <w:divsChild>
                                <w:div w:id="1415587791">
                                  <w:marLeft w:val="0"/>
                                  <w:marRight w:val="0"/>
                                  <w:marTop w:val="0"/>
                                  <w:marBottom w:val="0"/>
                                  <w:divBdr>
                                    <w:top w:val="none" w:sz="0" w:space="0" w:color="auto"/>
                                    <w:left w:val="none" w:sz="0" w:space="0" w:color="auto"/>
                                    <w:bottom w:val="none" w:sz="0" w:space="0" w:color="auto"/>
                                    <w:right w:val="none" w:sz="0" w:space="0" w:color="auto"/>
                                  </w:divBdr>
                                  <w:divsChild>
                                    <w:div w:id="2102951166">
                                      <w:marLeft w:val="0"/>
                                      <w:marRight w:val="0"/>
                                      <w:marTop w:val="0"/>
                                      <w:marBottom w:val="0"/>
                                      <w:divBdr>
                                        <w:top w:val="none" w:sz="0" w:space="0" w:color="auto"/>
                                        <w:left w:val="none" w:sz="0" w:space="0" w:color="auto"/>
                                        <w:bottom w:val="none" w:sz="0" w:space="0" w:color="auto"/>
                                        <w:right w:val="none" w:sz="0" w:space="0" w:color="auto"/>
                                      </w:divBdr>
                                      <w:divsChild>
                                        <w:div w:id="682440394">
                                          <w:marLeft w:val="0"/>
                                          <w:marRight w:val="0"/>
                                          <w:marTop w:val="0"/>
                                          <w:marBottom w:val="0"/>
                                          <w:divBdr>
                                            <w:top w:val="none" w:sz="0" w:space="0" w:color="auto"/>
                                            <w:left w:val="none" w:sz="0" w:space="0" w:color="auto"/>
                                            <w:bottom w:val="none" w:sz="0" w:space="0" w:color="auto"/>
                                            <w:right w:val="none" w:sz="0" w:space="0" w:color="auto"/>
                                          </w:divBdr>
                                          <w:divsChild>
                                            <w:div w:id="1261447946">
                                              <w:marLeft w:val="0"/>
                                              <w:marRight w:val="0"/>
                                              <w:marTop w:val="0"/>
                                              <w:marBottom w:val="0"/>
                                              <w:divBdr>
                                                <w:top w:val="none" w:sz="0" w:space="0" w:color="auto"/>
                                                <w:left w:val="none" w:sz="0" w:space="0" w:color="auto"/>
                                                <w:bottom w:val="none" w:sz="0" w:space="0" w:color="auto"/>
                                                <w:right w:val="none" w:sz="0" w:space="0" w:color="auto"/>
                                              </w:divBdr>
                                              <w:divsChild>
                                                <w:div w:id="101414312">
                                                  <w:marLeft w:val="0"/>
                                                  <w:marRight w:val="0"/>
                                                  <w:marTop w:val="0"/>
                                                  <w:marBottom w:val="0"/>
                                                  <w:divBdr>
                                                    <w:top w:val="none" w:sz="0" w:space="0" w:color="auto"/>
                                                    <w:left w:val="none" w:sz="0" w:space="0" w:color="auto"/>
                                                    <w:bottom w:val="none" w:sz="0" w:space="0" w:color="auto"/>
                                                    <w:right w:val="none" w:sz="0" w:space="0" w:color="auto"/>
                                                  </w:divBdr>
                                                </w:div>
                                                <w:div w:id="860239869">
                                                  <w:marLeft w:val="0"/>
                                                  <w:marRight w:val="0"/>
                                                  <w:marTop w:val="0"/>
                                                  <w:marBottom w:val="0"/>
                                                  <w:divBdr>
                                                    <w:top w:val="none" w:sz="0" w:space="0" w:color="auto"/>
                                                    <w:left w:val="none" w:sz="0" w:space="0" w:color="auto"/>
                                                    <w:bottom w:val="none" w:sz="0" w:space="0" w:color="auto"/>
                                                    <w:right w:val="none" w:sz="0" w:space="0" w:color="auto"/>
                                                  </w:divBdr>
                                                </w:div>
                                                <w:div w:id="1048070516">
                                                  <w:marLeft w:val="0"/>
                                                  <w:marRight w:val="0"/>
                                                  <w:marTop w:val="0"/>
                                                  <w:marBottom w:val="0"/>
                                                  <w:divBdr>
                                                    <w:top w:val="none" w:sz="0" w:space="0" w:color="auto"/>
                                                    <w:left w:val="none" w:sz="0" w:space="0" w:color="auto"/>
                                                    <w:bottom w:val="none" w:sz="0" w:space="0" w:color="auto"/>
                                                    <w:right w:val="none" w:sz="0" w:space="0" w:color="auto"/>
                                                  </w:divBdr>
                                                </w:div>
                                                <w:div w:id="1214388187">
                                                  <w:marLeft w:val="0"/>
                                                  <w:marRight w:val="0"/>
                                                  <w:marTop w:val="0"/>
                                                  <w:marBottom w:val="0"/>
                                                  <w:divBdr>
                                                    <w:top w:val="none" w:sz="0" w:space="0" w:color="auto"/>
                                                    <w:left w:val="none" w:sz="0" w:space="0" w:color="auto"/>
                                                    <w:bottom w:val="none" w:sz="0" w:space="0" w:color="auto"/>
                                                    <w:right w:val="none" w:sz="0" w:space="0" w:color="auto"/>
                                                  </w:divBdr>
                                                  <w:divsChild>
                                                    <w:div w:id="348681033">
                                                      <w:marLeft w:val="0"/>
                                                      <w:marRight w:val="0"/>
                                                      <w:marTop w:val="0"/>
                                                      <w:marBottom w:val="0"/>
                                                      <w:divBdr>
                                                        <w:top w:val="none" w:sz="0" w:space="0" w:color="auto"/>
                                                        <w:left w:val="none" w:sz="0" w:space="0" w:color="auto"/>
                                                        <w:bottom w:val="none" w:sz="0" w:space="0" w:color="auto"/>
                                                        <w:right w:val="none" w:sz="0" w:space="0" w:color="auto"/>
                                                      </w:divBdr>
                                                    </w:div>
                                                    <w:div w:id="1367754772">
                                                      <w:marLeft w:val="0"/>
                                                      <w:marRight w:val="0"/>
                                                      <w:marTop w:val="0"/>
                                                      <w:marBottom w:val="0"/>
                                                      <w:divBdr>
                                                        <w:top w:val="none" w:sz="0" w:space="0" w:color="auto"/>
                                                        <w:left w:val="none" w:sz="0" w:space="0" w:color="auto"/>
                                                        <w:bottom w:val="none" w:sz="0" w:space="0" w:color="auto"/>
                                                        <w:right w:val="none" w:sz="0" w:space="0" w:color="auto"/>
                                                      </w:divBdr>
                                                    </w:div>
                                                    <w:div w:id="1376735879">
                                                      <w:marLeft w:val="0"/>
                                                      <w:marRight w:val="0"/>
                                                      <w:marTop w:val="0"/>
                                                      <w:marBottom w:val="0"/>
                                                      <w:divBdr>
                                                        <w:top w:val="none" w:sz="0" w:space="0" w:color="auto"/>
                                                        <w:left w:val="none" w:sz="0" w:space="0" w:color="auto"/>
                                                        <w:bottom w:val="none" w:sz="0" w:space="0" w:color="auto"/>
                                                        <w:right w:val="none" w:sz="0" w:space="0" w:color="auto"/>
                                                      </w:divBdr>
                                                    </w:div>
                                                    <w:div w:id="1693872922">
                                                      <w:marLeft w:val="0"/>
                                                      <w:marRight w:val="0"/>
                                                      <w:marTop w:val="0"/>
                                                      <w:marBottom w:val="0"/>
                                                      <w:divBdr>
                                                        <w:top w:val="none" w:sz="0" w:space="0" w:color="auto"/>
                                                        <w:left w:val="none" w:sz="0" w:space="0" w:color="auto"/>
                                                        <w:bottom w:val="none" w:sz="0" w:space="0" w:color="auto"/>
                                                        <w:right w:val="none" w:sz="0" w:space="0" w:color="auto"/>
                                                      </w:divBdr>
                                                    </w:div>
                                                  </w:divsChild>
                                                </w:div>
                                                <w:div w:id="1891501268">
                                                  <w:marLeft w:val="0"/>
                                                  <w:marRight w:val="0"/>
                                                  <w:marTop w:val="0"/>
                                                  <w:marBottom w:val="0"/>
                                                  <w:divBdr>
                                                    <w:top w:val="none" w:sz="0" w:space="0" w:color="auto"/>
                                                    <w:left w:val="none" w:sz="0" w:space="0" w:color="auto"/>
                                                    <w:bottom w:val="none" w:sz="0" w:space="0" w:color="auto"/>
                                                    <w:right w:val="none" w:sz="0" w:space="0" w:color="auto"/>
                                                  </w:divBdr>
                                                </w:div>
                                                <w:div w:id="19800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leg.wa.gov/rcw/default.aspx?cite=39.26.12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s.wa.gov/sites/default/files/public/documents/About/Procurement_reform/Policies/DES-130-00EmergencyProcurePurch.pdf?=6112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es.wa.gov/sites/default/files/public/documents/About/Procurement_reform/Policies/DES-125-03DirectBuy.pdf?=61124"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DC5B9-333E-4F1C-8042-31BC928DCC39}">
  <ds:schemaRefs>
    <ds:schemaRef ds:uri="http://schemas.microsoft.com/sharepoint/v3/contenttype/forms"/>
  </ds:schemaRefs>
</ds:datastoreItem>
</file>

<file path=customXml/itemProps2.xml><?xml version="1.0" encoding="utf-8"?>
<ds:datastoreItem xmlns:ds="http://schemas.openxmlformats.org/officeDocument/2006/customXml" ds:itemID="{16E9353F-D45F-4816-9F9F-7DA7F0E3FC9A}">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infopath/2007/PartnerControls"/>
    <ds:schemaRef ds:uri="4f5804d5-49c0-4153-b9d4-3ac3acf566d3"/>
    <ds:schemaRef ds:uri="http://www.w3.org/XML/1998/namespace"/>
    <ds:schemaRef ds:uri="http://purl.org/dc/dcmitype/"/>
  </ds:schemaRefs>
</ds:datastoreItem>
</file>

<file path=customXml/itemProps3.xml><?xml version="1.0" encoding="utf-8"?>
<ds:datastoreItem xmlns:ds="http://schemas.openxmlformats.org/officeDocument/2006/customXml" ds:itemID="{EC7BD46C-82B8-4C23-8284-CF97C39F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Pre-Formatted Accessible Policy Template</vt:lpstr>
    </vt:vector>
  </TitlesOfParts>
  <Company>Washington Technology Solutions</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Policy Template</dc:title>
  <dc:subject/>
  <dc:creator>jack.zeigler@des.wa.gov</dc:creator>
  <cp:keywords/>
  <dc:description/>
  <cp:lastModifiedBy>Warnock, Christine (DES)</cp:lastModifiedBy>
  <cp:revision>6</cp:revision>
  <cp:lastPrinted>2019-01-22T18:44:00Z</cp:lastPrinted>
  <dcterms:created xsi:type="dcterms:W3CDTF">2019-02-08T16:36:00Z</dcterms:created>
  <dcterms:modified xsi:type="dcterms:W3CDTF">2019-02-08T17:18:00Z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