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15EB" w14:textId="77777777" w:rsidR="00CE6479" w:rsidRPr="00D0246A" w:rsidRDefault="00CE6479" w:rsidP="00CE6479">
      <w:pPr>
        <w:pStyle w:val="Subtitle"/>
        <w:spacing w:after="0"/>
        <w:rPr>
          <w:rFonts w:asciiTheme="minorHAnsi" w:hAnsiTheme="minorHAnsi" w:cstheme="minorHAnsi"/>
        </w:rPr>
      </w:pPr>
      <w:r w:rsidRPr="00D0246A">
        <w:rPr>
          <w:rFonts w:asciiTheme="minorHAnsi" w:hAnsiTheme="minorHAnsi" w:cstheme="minorHAnsi"/>
          <w:lang w:eastAsia="en-US" w:bidi="ar-SA"/>
        </w:rPr>
        <w:drawing>
          <wp:inline distT="0" distB="0" distL="0" distR="0" wp14:anchorId="0934C237" wp14:editId="480B6370">
            <wp:extent cx="2162695" cy="365760"/>
            <wp:effectExtent l="0" t="0" r="9525" b="0"/>
            <wp:docPr id="5"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p w14:paraId="1123B536" w14:textId="77777777"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877E2E">
        <w:rPr>
          <w:rFonts w:asciiTheme="minorHAnsi" w:hAnsiTheme="minorHAnsi" w:cstheme="minorHAnsi"/>
        </w:rPr>
        <w:t>POL-DES-140-00</w:t>
      </w:r>
    </w:p>
    <w:p w14:paraId="21EB8E1E" w14:textId="77777777" w:rsidR="00CE6479" w:rsidRPr="00157A23" w:rsidRDefault="00877E2E" w:rsidP="002B0F44">
      <w:pPr>
        <w:pStyle w:val="Title"/>
        <w:rPr>
          <w:sz w:val="28"/>
          <w:szCs w:val="28"/>
          <w:lang w:eastAsia="zh-TW" w:bidi="en-US"/>
        </w:rPr>
      </w:pPr>
      <w:r>
        <w:rPr>
          <w:color w:val="1F3864" w:themeColor="accent5" w:themeShade="80"/>
        </w:rPr>
        <w:t>Sole Source Contract Policy</w:t>
      </w:r>
    </w:p>
    <w:p w14:paraId="64B7E2E6" w14:textId="77777777" w:rsidR="00877E2E" w:rsidRPr="00625432" w:rsidRDefault="00CE6479" w:rsidP="00877E2E">
      <w:pPr>
        <w:pStyle w:val="InfoBlock"/>
        <w:pBdr>
          <w:top w:val="single" w:sz="4" w:space="1" w:color="auto"/>
        </w:pBdr>
        <w:rPr>
          <w:rFonts w:asciiTheme="minorHAnsi" w:hAnsiTheme="minorHAnsi" w:cstheme="minorHAnsi"/>
          <w:sz w:val="22"/>
          <w:szCs w:val="22"/>
        </w:rPr>
      </w:pPr>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sidR="00BB7877">
        <w:rPr>
          <w:rFonts w:asciiTheme="minorHAnsi" w:hAnsiTheme="minorHAnsi" w:cstheme="minorHAnsi"/>
          <w:sz w:val="22"/>
          <w:szCs w:val="22"/>
          <w:lang w:eastAsia="zh-TW"/>
        </w:rPr>
        <w:t xml:space="preserve"> </w:t>
      </w:r>
      <w:r w:rsidR="00877E2E">
        <w:rPr>
          <w:rFonts w:asciiTheme="minorHAnsi" w:hAnsiTheme="minorHAnsi" w:cstheme="minorHAnsi"/>
          <w:sz w:val="22"/>
          <w:szCs w:val="22"/>
          <w:lang w:eastAsia="zh-TW"/>
        </w:rPr>
        <w:t>Any state office or activity of the executive branches of state government, including state agencies, departments, offices, divisions, boards, commissions, institutions of higher education as defined in</w:t>
      </w:r>
      <w:r w:rsidR="00877E2E">
        <w:rPr>
          <w:rFonts w:asciiTheme="minorHAnsi" w:hAnsiTheme="minorHAnsi" w:cstheme="minorHAnsi"/>
          <w:color w:val="FF0000"/>
          <w:sz w:val="22"/>
          <w:szCs w:val="22"/>
          <w:lang w:eastAsia="zh-TW"/>
        </w:rPr>
        <w:t xml:space="preserve"> </w:t>
      </w:r>
      <w:hyperlink r:id="rId12" w:history="1">
        <w:r w:rsidR="00877E2E" w:rsidRPr="00D7056D">
          <w:rPr>
            <w:rStyle w:val="Hyperlink"/>
            <w:rFonts w:asciiTheme="minorHAnsi" w:hAnsiTheme="minorHAnsi" w:cstheme="minorHAnsi"/>
            <w:sz w:val="22"/>
            <w:szCs w:val="22"/>
            <w:lang w:eastAsia="zh-TW"/>
          </w:rPr>
          <w:t>RCW 28B.10.016</w:t>
        </w:r>
      </w:hyperlink>
      <w:r w:rsidR="00877E2E" w:rsidRPr="002D4956">
        <w:rPr>
          <w:rFonts w:asciiTheme="minorHAnsi" w:hAnsiTheme="minorHAnsi" w:cstheme="minorHAnsi"/>
          <w:color w:val="FF0000"/>
          <w:sz w:val="22"/>
          <w:szCs w:val="22"/>
          <w:lang w:eastAsia="zh-TW"/>
        </w:rPr>
        <w:t xml:space="preserve"> </w:t>
      </w:r>
      <w:r w:rsidR="00877E2E">
        <w:rPr>
          <w:rFonts w:asciiTheme="minorHAnsi" w:hAnsiTheme="minorHAnsi" w:cstheme="minorHAnsi"/>
          <w:sz w:val="22"/>
          <w:szCs w:val="22"/>
          <w:lang w:eastAsia="zh-TW"/>
        </w:rPr>
        <w:t>and correctional and other types of institutions.</w:t>
      </w:r>
    </w:p>
    <w:p w14:paraId="7D886EC3" w14:textId="77777777" w:rsidR="002B0F44" w:rsidRPr="00625432" w:rsidRDefault="002B0F44" w:rsidP="002B0F44">
      <w:pPr>
        <w:pStyle w:val="InfoBlock"/>
        <w:pBdr>
          <w:top w:val="single" w:sz="4" w:space="1" w:color="auto"/>
        </w:pBdr>
        <w:rPr>
          <w:rFonts w:asciiTheme="minorHAnsi" w:hAnsiTheme="minorHAnsi" w:cstheme="minorHAnsi"/>
          <w:sz w:val="22"/>
          <w:szCs w:val="22"/>
        </w:rPr>
      </w:pPr>
    </w:p>
    <w:p w14:paraId="760E2D8A" w14:textId="77777777"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14:paraId="18F60D55" w14:textId="77777777" w:rsidR="00877E2E" w:rsidRPr="009C7FB8" w:rsidRDefault="00877E2E" w:rsidP="00877E2E">
      <w:pPr>
        <w:pStyle w:val="InfoBlock"/>
        <w:numPr>
          <w:ilvl w:val="0"/>
          <w:numId w:val="4"/>
        </w:numPr>
        <w:spacing w:before="0" w:after="0"/>
        <w:rPr>
          <w:rFonts w:asciiTheme="minorHAnsi" w:hAnsiTheme="minorHAnsi" w:cstheme="minorHAnsi"/>
          <w:sz w:val="22"/>
          <w:szCs w:val="22"/>
        </w:rPr>
      </w:pPr>
      <w:r w:rsidRPr="009C7FB8">
        <w:rPr>
          <w:rFonts w:asciiTheme="minorHAnsi" w:hAnsiTheme="minorHAnsi" w:cstheme="minorHAnsi"/>
          <w:sz w:val="22"/>
          <w:szCs w:val="22"/>
        </w:rPr>
        <w:t xml:space="preserve">State Law </w:t>
      </w:r>
      <w:r>
        <w:rPr>
          <w:rStyle w:val="Hyperlink"/>
          <w:rFonts w:asciiTheme="minorHAnsi" w:hAnsiTheme="minorHAnsi" w:cstheme="minorHAnsi"/>
          <w:sz w:val="22"/>
          <w:szCs w:val="22"/>
        </w:rPr>
        <w:t>RCW 39.26.125</w:t>
      </w:r>
    </w:p>
    <w:p w14:paraId="326A35A5" w14:textId="77777777" w:rsidR="00877E2E" w:rsidRPr="009C7FB8" w:rsidRDefault="00877E2E" w:rsidP="00877E2E">
      <w:pPr>
        <w:pStyle w:val="InfoBlock"/>
        <w:numPr>
          <w:ilvl w:val="0"/>
          <w:numId w:val="4"/>
        </w:numPr>
        <w:spacing w:before="0" w:after="0"/>
        <w:rPr>
          <w:rFonts w:asciiTheme="minorHAnsi" w:hAnsiTheme="minorHAnsi" w:cstheme="minorHAnsi"/>
          <w:sz w:val="22"/>
          <w:szCs w:val="22"/>
        </w:rPr>
      </w:pPr>
      <w:r w:rsidRPr="009C7FB8">
        <w:rPr>
          <w:rFonts w:asciiTheme="minorHAnsi" w:hAnsiTheme="minorHAnsi" w:cstheme="minorHAnsi"/>
          <w:sz w:val="22"/>
          <w:szCs w:val="22"/>
        </w:rPr>
        <w:t xml:space="preserve">State Law </w:t>
      </w:r>
      <w:r>
        <w:rPr>
          <w:rStyle w:val="Hyperlink"/>
          <w:rFonts w:asciiTheme="minorHAnsi" w:hAnsiTheme="minorHAnsi" w:cstheme="minorHAnsi"/>
          <w:sz w:val="22"/>
          <w:szCs w:val="22"/>
        </w:rPr>
        <w:t>RCW 39.26.14</w:t>
      </w:r>
      <w:r w:rsidRPr="0054216E">
        <w:rPr>
          <w:rStyle w:val="Hyperlink"/>
          <w:rFonts w:asciiTheme="minorHAnsi" w:hAnsiTheme="minorHAnsi" w:cstheme="minorHAnsi"/>
          <w:sz w:val="22"/>
          <w:szCs w:val="22"/>
        </w:rPr>
        <w:t>0</w:t>
      </w:r>
    </w:p>
    <w:p w14:paraId="2F98C486" w14:textId="77777777" w:rsidR="00877E2E" w:rsidRPr="009C7FB8" w:rsidRDefault="00877E2E" w:rsidP="00877E2E">
      <w:pPr>
        <w:pStyle w:val="InfoBlock"/>
        <w:numPr>
          <w:ilvl w:val="0"/>
          <w:numId w:val="4"/>
        </w:numPr>
        <w:spacing w:before="0" w:after="0"/>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State Law </w:t>
      </w:r>
      <w:hyperlink r:id="rId13" w:history="1">
        <w:r w:rsidRPr="00870613">
          <w:rPr>
            <w:rStyle w:val="Hyperlink"/>
            <w:rFonts w:asciiTheme="minorHAnsi" w:hAnsiTheme="minorHAnsi" w:cstheme="minorHAnsi"/>
            <w:sz w:val="22"/>
            <w:szCs w:val="22"/>
          </w:rPr>
          <w:t>RCW 28B.10.029</w:t>
        </w:r>
      </w:hyperlink>
    </w:p>
    <w:p w14:paraId="12B80A65" w14:textId="77777777" w:rsidR="00877E2E" w:rsidRPr="009C7FB8" w:rsidRDefault="00877E2E" w:rsidP="00877E2E">
      <w:pPr>
        <w:pStyle w:val="InfoBlock"/>
        <w:spacing w:before="0" w:after="0"/>
        <w:ind w:left="720"/>
        <w:rPr>
          <w:rFonts w:asciiTheme="minorHAnsi" w:hAnsiTheme="minorHAnsi" w:cstheme="minorHAnsi"/>
          <w:sz w:val="22"/>
          <w:szCs w:val="22"/>
        </w:rPr>
      </w:pPr>
    </w:p>
    <w:p w14:paraId="397383A2" w14:textId="77777777" w:rsidR="00CE6479" w:rsidRPr="00625432" w:rsidRDefault="00CE6479" w:rsidP="000E1F27">
      <w:pPr>
        <w:spacing w:after="60"/>
        <w:rPr>
          <w:rFonts w:cstheme="minorHAnsi"/>
          <w:lang w:eastAsia="zh-TW" w:bidi="en-US"/>
        </w:rPr>
      </w:pPr>
      <w:r w:rsidRPr="00157A23">
        <w:rPr>
          <w:rFonts w:cstheme="minorHAnsi"/>
          <w:b/>
          <w:lang w:eastAsia="zh-TW" w:bidi="en-US"/>
        </w:rPr>
        <w:t>Effective date</w:t>
      </w:r>
      <w:r w:rsidRPr="00625432">
        <w:rPr>
          <w:rFonts w:cstheme="minorHAnsi"/>
          <w:lang w:eastAsia="zh-TW" w:bidi="en-US"/>
        </w:rPr>
        <w:t xml:space="preserve">: </w:t>
      </w:r>
      <w:r w:rsidR="00BB7877">
        <w:rPr>
          <w:rFonts w:cstheme="minorHAnsi"/>
        </w:rPr>
        <w:t xml:space="preserve"> </w:t>
      </w:r>
      <w:r w:rsidR="00877E2E">
        <w:rPr>
          <w:rFonts w:cstheme="minorHAnsi"/>
        </w:rPr>
        <w:t>[DATE]</w:t>
      </w:r>
    </w:p>
    <w:p w14:paraId="1F8DA782" w14:textId="77777777"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877E2E">
        <w:rPr>
          <w:rFonts w:cstheme="minorHAnsi"/>
        </w:rPr>
        <w:t>N/A</w:t>
      </w:r>
    </w:p>
    <w:p w14:paraId="185FEEE9" w14:textId="77777777" w:rsidR="00CE6479" w:rsidRPr="00877E2E" w:rsidRDefault="00CE6479" w:rsidP="000E1F27">
      <w:pPr>
        <w:spacing w:after="60"/>
        <w:rPr>
          <w:rFonts w:cstheme="minorHAnsi"/>
          <w:i/>
          <w:lang w:eastAsia="zh-TW" w:bidi="en-US"/>
        </w:rPr>
      </w:pPr>
      <w:r w:rsidRPr="00157A23">
        <w:rPr>
          <w:rFonts w:cstheme="minorHAnsi"/>
          <w:b/>
          <w:lang w:eastAsia="zh-TW" w:bidi="en-US"/>
        </w:rPr>
        <w:t>Sunset review date</w:t>
      </w:r>
      <w:r w:rsidRPr="00625432">
        <w:rPr>
          <w:rFonts w:cstheme="minorHAnsi"/>
          <w:lang w:eastAsia="zh-TW" w:bidi="en-US"/>
        </w:rPr>
        <w:t xml:space="preserve">: </w:t>
      </w:r>
      <w:r w:rsidR="00877E2E">
        <w:rPr>
          <w:rFonts w:cstheme="minorHAnsi"/>
        </w:rPr>
        <w:t>[</w:t>
      </w:r>
      <w:r w:rsidR="00877E2E">
        <w:rPr>
          <w:rFonts w:cstheme="minorHAnsi"/>
          <w:i/>
        </w:rPr>
        <w:t>5 years from effective date]</w:t>
      </w:r>
    </w:p>
    <w:p w14:paraId="335D1B77" w14:textId="77777777"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877E2E">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14:paraId="15F36E43" w14:textId="77777777" w:rsidR="00CE6479" w:rsidRDefault="00B17253" w:rsidP="00F935E8">
      <w:pPr>
        <w:pStyle w:val="Heading1"/>
        <w:pBdr>
          <w:top w:val="single" w:sz="4" w:space="1" w:color="auto"/>
        </w:pBdr>
      </w:pPr>
      <w:r>
        <w:t>Reason for Policy</w:t>
      </w:r>
    </w:p>
    <w:p w14:paraId="36D9C580" w14:textId="77777777" w:rsidR="004E667E" w:rsidRPr="00AE5D35" w:rsidRDefault="004E667E" w:rsidP="004E667E">
      <w:pPr>
        <w:pStyle w:val="InfoBlock"/>
        <w:pBdr>
          <w:top w:val="single" w:sz="4" w:space="1" w:color="auto"/>
        </w:pBdr>
        <w:rPr>
          <w:rFonts w:ascii="Calibri" w:hAnsi="Calibri" w:cstheme="minorHAnsi"/>
          <w:sz w:val="22"/>
          <w:szCs w:val="22"/>
          <w:lang w:eastAsia="zh-TW"/>
        </w:rPr>
      </w:pPr>
      <w:r w:rsidRPr="00116D98">
        <w:rPr>
          <w:rFonts w:asciiTheme="minorHAnsi" w:hAnsiTheme="minorHAnsi" w:cstheme="minorHAnsi"/>
          <w:sz w:val="22"/>
          <w:szCs w:val="22"/>
          <w:lang w:eastAsia="zh-TW"/>
        </w:rPr>
        <w:t xml:space="preserve">This policy applies whenever an agency </w:t>
      </w:r>
      <w:r>
        <w:rPr>
          <w:rFonts w:asciiTheme="minorHAnsi" w:hAnsiTheme="minorHAnsi" w:cstheme="minorHAnsi"/>
          <w:sz w:val="22"/>
          <w:szCs w:val="22"/>
          <w:lang w:eastAsia="zh-TW"/>
        </w:rPr>
        <w:t>intends to purchase or lease</w:t>
      </w:r>
      <w:r w:rsidRPr="00116D98">
        <w:rPr>
          <w:rFonts w:asciiTheme="minorHAnsi" w:hAnsiTheme="minorHAnsi" w:cstheme="minorHAnsi"/>
          <w:sz w:val="22"/>
          <w:szCs w:val="22"/>
          <w:lang w:eastAsia="zh-TW"/>
        </w:rPr>
        <w:t xml:space="preserve"> goods and/or services under Chapter 39.26 RCW</w:t>
      </w:r>
      <w:r>
        <w:rPr>
          <w:rFonts w:asciiTheme="minorHAnsi" w:hAnsiTheme="minorHAnsi" w:cstheme="minorHAnsi"/>
          <w:sz w:val="22"/>
          <w:szCs w:val="22"/>
          <w:lang w:eastAsia="zh-TW"/>
        </w:rPr>
        <w:t xml:space="preserve"> that are only available from a single source, or are exempt from </w:t>
      </w:r>
      <w:r w:rsidR="000073F8">
        <w:rPr>
          <w:rFonts w:asciiTheme="minorHAnsi" w:hAnsiTheme="minorHAnsi" w:cstheme="minorHAnsi"/>
          <w:sz w:val="22"/>
          <w:szCs w:val="22"/>
          <w:lang w:eastAsia="zh-TW"/>
        </w:rPr>
        <w:t>competition</w:t>
      </w:r>
      <w:r w:rsidRPr="00116D98">
        <w:rPr>
          <w:rFonts w:asciiTheme="minorHAnsi" w:hAnsiTheme="minorHAnsi" w:cstheme="minorHAnsi"/>
          <w:sz w:val="22"/>
          <w:szCs w:val="22"/>
          <w:lang w:eastAsia="zh-TW"/>
        </w:rPr>
        <w:t>.</w:t>
      </w:r>
      <w:r>
        <w:rPr>
          <w:rFonts w:asciiTheme="minorHAnsi" w:hAnsiTheme="minorHAnsi" w:cstheme="minorHAnsi"/>
          <w:sz w:val="22"/>
          <w:szCs w:val="22"/>
          <w:lang w:eastAsia="zh-TW"/>
        </w:rPr>
        <w:t xml:space="preserve"> </w:t>
      </w:r>
    </w:p>
    <w:p w14:paraId="5B7A8C13" w14:textId="77777777" w:rsidR="004E667E" w:rsidRDefault="004E667E" w:rsidP="004E667E">
      <w:pPr>
        <w:pStyle w:val="Heading1"/>
        <w:spacing w:line="240" w:lineRule="auto"/>
      </w:pPr>
      <w:r w:rsidRPr="005F4DAA">
        <w:t>POL-DES-</w:t>
      </w:r>
      <w:r>
        <w:t>14</w:t>
      </w:r>
      <w:r w:rsidRPr="005F4DAA">
        <w:t>0-00</w:t>
      </w:r>
      <w:r>
        <w:t xml:space="preserve"> Sole Source Contract </w:t>
      </w:r>
      <w:r w:rsidRPr="005F4DAA">
        <w:t>Policy</w:t>
      </w:r>
    </w:p>
    <w:p w14:paraId="075CA72C" w14:textId="77777777" w:rsidR="004E667E" w:rsidRPr="00F82E0B" w:rsidRDefault="004E667E" w:rsidP="004E667E">
      <w:pPr>
        <w:pStyle w:val="NoSpacing"/>
        <w:numPr>
          <w:ilvl w:val="0"/>
          <w:numId w:val="5"/>
        </w:numPr>
        <w:ind w:right="106"/>
        <w:rPr>
          <w:rFonts w:ascii="Calibri" w:hAnsi="Calibri" w:cstheme="minorHAnsi"/>
          <w:b/>
          <w:sz w:val="22"/>
          <w:szCs w:val="22"/>
        </w:rPr>
      </w:pPr>
      <w:r>
        <w:rPr>
          <w:rFonts w:ascii="Calibri" w:hAnsi="Calibri" w:cstheme="minorHAnsi"/>
          <w:b/>
          <w:sz w:val="22"/>
          <w:szCs w:val="22"/>
        </w:rPr>
        <w:t>Sole source is an exemption to competition requirements and must be approved by DES</w:t>
      </w:r>
      <w:r>
        <w:rPr>
          <w:rFonts w:ascii="Calibri" w:hAnsi="Calibri" w:cstheme="minorHAnsi"/>
          <w:sz w:val="22"/>
          <w:szCs w:val="22"/>
        </w:rPr>
        <w:t>.</w:t>
      </w:r>
    </w:p>
    <w:p w14:paraId="0885F68A" w14:textId="5080621A" w:rsidR="004E667E" w:rsidRDefault="004E667E" w:rsidP="004E667E">
      <w:pPr>
        <w:pStyle w:val="NoSpacing"/>
        <w:ind w:left="450" w:right="106"/>
        <w:rPr>
          <w:rFonts w:ascii="Calibri" w:hAnsi="Calibri" w:cstheme="minorHAnsi"/>
          <w:sz w:val="22"/>
          <w:szCs w:val="22"/>
        </w:rPr>
      </w:pPr>
      <w:r>
        <w:rPr>
          <w:rFonts w:ascii="Calibri" w:hAnsi="Calibri" w:cstheme="minorHAnsi"/>
          <w:sz w:val="22"/>
          <w:szCs w:val="22"/>
        </w:rPr>
        <w:t xml:space="preserve">It is the intent of the state to promote open competition and transparency for all contracts for goods and services. One exemption to </w:t>
      </w:r>
      <w:r w:rsidR="000A7D2D">
        <w:rPr>
          <w:rFonts w:ascii="Calibri" w:hAnsi="Calibri" w:cstheme="minorHAnsi"/>
          <w:sz w:val="22"/>
          <w:szCs w:val="22"/>
        </w:rPr>
        <w:t xml:space="preserve">competition </w:t>
      </w:r>
      <w:r w:rsidR="00661FEA">
        <w:rPr>
          <w:rFonts w:ascii="Calibri" w:hAnsi="Calibri" w:cstheme="minorHAnsi"/>
          <w:sz w:val="22"/>
          <w:szCs w:val="22"/>
        </w:rPr>
        <w:t>is a sole source contract (</w:t>
      </w:r>
      <w:r>
        <w:rPr>
          <w:rFonts w:ascii="Calibri" w:hAnsi="Calibri" w:cstheme="minorHAnsi"/>
          <w:sz w:val="22"/>
          <w:szCs w:val="22"/>
        </w:rPr>
        <w:t>RCW 39.36.125(2)</w:t>
      </w:r>
      <w:r w:rsidR="00661FEA">
        <w:rPr>
          <w:rFonts w:ascii="Calibri" w:hAnsi="Calibri" w:cstheme="minorHAnsi"/>
          <w:sz w:val="22"/>
          <w:szCs w:val="22"/>
        </w:rPr>
        <w:t>)</w:t>
      </w:r>
      <w:r>
        <w:rPr>
          <w:rFonts w:ascii="Calibri" w:hAnsi="Calibri" w:cstheme="minorHAnsi"/>
          <w:sz w:val="22"/>
          <w:szCs w:val="22"/>
        </w:rPr>
        <w:t>. If an agenc</w:t>
      </w:r>
      <w:r w:rsidRPr="00C25F41">
        <w:rPr>
          <w:rFonts w:ascii="Calibri" w:hAnsi="Calibri" w:cstheme="minorHAnsi"/>
          <w:sz w:val="22"/>
          <w:szCs w:val="22"/>
        </w:rPr>
        <w:t>y concludes that a sole source contract is justified and necessary, the agency</w:t>
      </w:r>
      <w:r>
        <w:rPr>
          <w:rFonts w:ascii="Calibri" w:hAnsi="Calibri" w:cstheme="minorHAnsi"/>
          <w:sz w:val="22"/>
          <w:szCs w:val="22"/>
        </w:rPr>
        <w:t xml:space="preserve"> must </w:t>
      </w:r>
      <w:r w:rsidRPr="00C25F41">
        <w:rPr>
          <w:rFonts w:ascii="Calibri" w:hAnsi="Calibri"/>
          <w:sz w:val="22"/>
          <w:shd w:val="clear" w:color="auto" w:fill="FFFFFF"/>
        </w:rPr>
        <w:t>submit</w:t>
      </w:r>
      <w:r w:rsidRPr="00D312F1">
        <w:rPr>
          <w:rFonts w:ascii="Calibri" w:hAnsi="Calibri"/>
          <w:sz w:val="22"/>
          <w:shd w:val="clear" w:color="auto" w:fill="FFFFFF"/>
        </w:rPr>
        <w:t xml:space="preserve"> </w:t>
      </w:r>
      <w:r>
        <w:rPr>
          <w:rFonts w:ascii="Calibri" w:hAnsi="Calibri"/>
          <w:sz w:val="22"/>
          <w:shd w:val="clear" w:color="auto" w:fill="FFFFFF"/>
        </w:rPr>
        <w:t xml:space="preserve">the </w:t>
      </w:r>
      <w:r w:rsidRPr="00D312F1">
        <w:rPr>
          <w:rFonts w:ascii="Calibri" w:hAnsi="Calibri"/>
          <w:sz w:val="22"/>
          <w:shd w:val="clear" w:color="auto" w:fill="FFFFFF"/>
        </w:rPr>
        <w:t>so</w:t>
      </w:r>
      <w:r w:rsidRPr="00C25F41">
        <w:rPr>
          <w:rFonts w:ascii="Calibri" w:hAnsi="Calibri"/>
          <w:sz w:val="22"/>
          <w:shd w:val="clear" w:color="auto" w:fill="FFFFFF"/>
        </w:rPr>
        <w:t>le source contract</w:t>
      </w:r>
      <w:r w:rsidRPr="00D312F1">
        <w:rPr>
          <w:rFonts w:ascii="Calibri" w:hAnsi="Calibri"/>
          <w:sz w:val="22"/>
          <w:shd w:val="clear" w:color="auto" w:fill="FFFFFF"/>
        </w:rPr>
        <w:t xml:space="preserve"> to </w:t>
      </w:r>
      <w:r w:rsidR="001713C7">
        <w:rPr>
          <w:rFonts w:ascii="Calibri" w:hAnsi="Calibri"/>
          <w:sz w:val="22"/>
          <w:shd w:val="clear" w:color="auto" w:fill="FFFFFF"/>
        </w:rPr>
        <w:t xml:space="preserve">the </w:t>
      </w:r>
      <w:r w:rsidRPr="00D312F1">
        <w:rPr>
          <w:rFonts w:ascii="Calibri" w:hAnsi="Calibri"/>
          <w:sz w:val="22"/>
          <w:shd w:val="clear" w:color="auto" w:fill="FFFFFF"/>
        </w:rPr>
        <w:t>D</w:t>
      </w:r>
      <w:r w:rsidR="001713C7">
        <w:rPr>
          <w:rFonts w:ascii="Calibri" w:hAnsi="Calibri"/>
          <w:sz w:val="22"/>
          <w:shd w:val="clear" w:color="auto" w:fill="FFFFFF"/>
        </w:rPr>
        <w:t xml:space="preserve">epartment of </w:t>
      </w:r>
      <w:r w:rsidRPr="00D312F1">
        <w:rPr>
          <w:rFonts w:ascii="Calibri" w:hAnsi="Calibri"/>
          <w:sz w:val="22"/>
          <w:shd w:val="clear" w:color="auto" w:fill="FFFFFF"/>
        </w:rPr>
        <w:t>E</w:t>
      </w:r>
      <w:r w:rsidR="001713C7">
        <w:rPr>
          <w:rFonts w:ascii="Calibri" w:hAnsi="Calibri"/>
          <w:sz w:val="22"/>
          <w:shd w:val="clear" w:color="auto" w:fill="FFFFFF"/>
        </w:rPr>
        <w:t xml:space="preserve">nterprise </w:t>
      </w:r>
      <w:r w:rsidRPr="00D312F1">
        <w:rPr>
          <w:rFonts w:ascii="Calibri" w:hAnsi="Calibri"/>
          <w:sz w:val="22"/>
          <w:shd w:val="clear" w:color="auto" w:fill="FFFFFF"/>
        </w:rPr>
        <w:t>S</w:t>
      </w:r>
      <w:r w:rsidR="001713C7">
        <w:rPr>
          <w:rFonts w:ascii="Calibri" w:hAnsi="Calibri"/>
          <w:sz w:val="22"/>
          <w:shd w:val="clear" w:color="auto" w:fill="FFFFFF"/>
        </w:rPr>
        <w:t>ervices (DES)</w:t>
      </w:r>
      <w:r w:rsidRPr="00D312F1">
        <w:rPr>
          <w:rFonts w:ascii="Calibri" w:hAnsi="Calibri"/>
          <w:sz w:val="22"/>
          <w:shd w:val="clear" w:color="auto" w:fill="FFFFFF"/>
        </w:rPr>
        <w:t xml:space="preserve"> for </w:t>
      </w:r>
      <w:r w:rsidR="00266502">
        <w:rPr>
          <w:rFonts w:ascii="Calibri" w:hAnsi="Calibri"/>
          <w:sz w:val="22"/>
          <w:shd w:val="clear" w:color="auto" w:fill="FFFFFF"/>
        </w:rPr>
        <w:t>approval</w:t>
      </w:r>
      <w:r w:rsidRPr="00C25F41">
        <w:rPr>
          <w:rFonts w:ascii="Calibri" w:hAnsi="Calibri" w:cstheme="minorHAnsi"/>
          <w:sz w:val="22"/>
          <w:szCs w:val="22"/>
        </w:rPr>
        <w:t xml:space="preserve"> </w:t>
      </w:r>
      <w:r w:rsidR="005644BF">
        <w:rPr>
          <w:rFonts w:ascii="Calibri" w:hAnsi="Calibri" w:cstheme="minorHAnsi"/>
          <w:sz w:val="22"/>
          <w:szCs w:val="22"/>
        </w:rPr>
        <w:t>(</w:t>
      </w:r>
      <w:r w:rsidRPr="00C25F41">
        <w:rPr>
          <w:rFonts w:ascii="Calibri" w:hAnsi="Calibri" w:cstheme="minorHAnsi"/>
          <w:sz w:val="22"/>
          <w:szCs w:val="22"/>
        </w:rPr>
        <w:t>RCW 39.26.140(1)</w:t>
      </w:r>
      <w:r w:rsidR="000A7D2D">
        <w:rPr>
          <w:rFonts w:ascii="Calibri" w:hAnsi="Calibri" w:cstheme="minorHAnsi"/>
          <w:sz w:val="22"/>
          <w:szCs w:val="22"/>
        </w:rPr>
        <w:t>) unless otherwise exempt (</w:t>
      </w:r>
      <w:r w:rsidR="005644BF">
        <w:rPr>
          <w:rFonts w:ascii="Calibri" w:hAnsi="Calibri" w:cstheme="minorHAnsi"/>
          <w:sz w:val="22"/>
          <w:szCs w:val="22"/>
        </w:rPr>
        <w:t>s</w:t>
      </w:r>
      <w:r w:rsidR="000A7D2D">
        <w:rPr>
          <w:rFonts w:ascii="Calibri" w:hAnsi="Calibri" w:cstheme="minorHAnsi"/>
          <w:sz w:val="22"/>
          <w:szCs w:val="22"/>
        </w:rPr>
        <w:t>ee Section 5 of this Policy).</w:t>
      </w:r>
      <w:r w:rsidRPr="00C25F41">
        <w:rPr>
          <w:rFonts w:ascii="Calibri" w:hAnsi="Calibri" w:cstheme="minorHAnsi"/>
          <w:sz w:val="22"/>
          <w:szCs w:val="22"/>
        </w:rPr>
        <w:t xml:space="preserve"> </w:t>
      </w:r>
      <w:r w:rsidR="002F6D59">
        <w:rPr>
          <w:rFonts w:ascii="Calibri" w:hAnsi="Calibri" w:cstheme="minorHAnsi"/>
          <w:sz w:val="22"/>
          <w:szCs w:val="22"/>
        </w:rPr>
        <w:t>Reference</w:t>
      </w:r>
      <w:r w:rsidR="002F6D59" w:rsidRPr="00C25F41">
        <w:rPr>
          <w:rFonts w:ascii="Calibri" w:hAnsi="Calibri" w:cstheme="minorHAnsi"/>
          <w:sz w:val="22"/>
          <w:szCs w:val="22"/>
        </w:rPr>
        <w:t xml:space="preserve"> </w:t>
      </w:r>
      <w:r w:rsidRPr="00C25F41">
        <w:rPr>
          <w:rFonts w:ascii="Calibri" w:hAnsi="Calibri" w:cstheme="minorHAnsi"/>
          <w:sz w:val="22"/>
          <w:szCs w:val="22"/>
        </w:rPr>
        <w:t xml:space="preserve">PRO-DES-140-00A (Sole </w:t>
      </w:r>
      <w:r w:rsidR="00FF76F2">
        <w:rPr>
          <w:rFonts w:ascii="Calibri" w:hAnsi="Calibri" w:cstheme="minorHAnsi"/>
          <w:sz w:val="22"/>
          <w:szCs w:val="22"/>
        </w:rPr>
        <w:t>Source Contract Approval Procedure</w:t>
      </w:r>
      <w:r w:rsidRPr="00C25F41">
        <w:rPr>
          <w:rFonts w:ascii="Calibri" w:hAnsi="Calibri" w:cstheme="minorHAnsi"/>
          <w:sz w:val="22"/>
          <w:szCs w:val="22"/>
        </w:rPr>
        <w:t xml:space="preserve">). </w:t>
      </w:r>
    </w:p>
    <w:p w14:paraId="684050D1" w14:textId="77777777" w:rsidR="00B44A68" w:rsidRPr="00393EFF" w:rsidRDefault="00B44A68" w:rsidP="004E667E">
      <w:pPr>
        <w:pStyle w:val="NoSpacing"/>
        <w:ind w:left="450" w:right="106"/>
        <w:rPr>
          <w:rFonts w:ascii="Calibri" w:hAnsi="Calibri"/>
          <w:sz w:val="22"/>
        </w:rPr>
      </w:pPr>
    </w:p>
    <w:p w14:paraId="164FBE6A" w14:textId="77777777" w:rsidR="004E667E" w:rsidRPr="00515D95" w:rsidRDefault="004E667E" w:rsidP="004E667E">
      <w:pPr>
        <w:pStyle w:val="NoSpacing"/>
        <w:numPr>
          <w:ilvl w:val="0"/>
          <w:numId w:val="5"/>
        </w:numPr>
        <w:ind w:right="106"/>
        <w:jc w:val="both"/>
        <w:rPr>
          <w:rFonts w:ascii="Calibri" w:hAnsi="Calibri" w:cstheme="minorHAnsi"/>
          <w:b/>
          <w:sz w:val="22"/>
          <w:szCs w:val="22"/>
        </w:rPr>
      </w:pPr>
      <w:r>
        <w:rPr>
          <w:rFonts w:ascii="Calibri" w:hAnsi="Calibri" w:cstheme="minorHAnsi"/>
          <w:b/>
          <w:sz w:val="22"/>
          <w:szCs w:val="22"/>
        </w:rPr>
        <w:t>DES sole source approval must occur before the contract is executed</w:t>
      </w:r>
      <w:r>
        <w:rPr>
          <w:rFonts w:ascii="Calibri" w:hAnsi="Calibri" w:cstheme="minorHAnsi"/>
          <w:sz w:val="22"/>
          <w:szCs w:val="22"/>
        </w:rPr>
        <w:t>.</w:t>
      </w:r>
    </w:p>
    <w:p w14:paraId="0C48976B" w14:textId="066945CF" w:rsidR="004E667E" w:rsidRDefault="004E667E" w:rsidP="004E667E">
      <w:pPr>
        <w:pStyle w:val="NoSpacing"/>
        <w:ind w:left="450" w:right="106"/>
        <w:rPr>
          <w:rFonts w:ascii="Calibri" w:hAnsi="Calibri"/>
          <w:sz w:val="22"/>
        </w:rPr>
      </w:pPr>
      <w:r w:rsidRPr="00DF2CEB">
        <w:rPr>
          <w:rFonts w:ascii="Calibri" w:hAnsi="Calibri"/>
          <w:sz w:val="22"/>
        </w:rPr>
        <w:t>Agencies must obtain DES approval before a proposed sole source contract becomes binding, goods are received</w:t>
      </w:r>
      <w:r>
        <w:rPr>
          <w:rFonts w:ascii="Calibri" w:hAnsi="Calibri"/>
          <w:sz w:val="22"/>
        </w:rPr>
        <w:t xml:space="preserve"> under the contract</w:t>
      </w:r>
      <w:r w:rsidRPr="00DF2CEB">
        <w:rPr>
          <w:rFonts w:ascii="Calibri" w:hAnsi="Calibri"/>
          <w:sz w:val="22"/>
        </w:rPr>
        <w:t>, or services are performed</w:t>
      </w:r>
      <w:r>
        <w:rPr>
          <w:rFonts w:ascii="Calibri" w:hAnsi="Calibri"/>
          <w:sz w:val="22"/>
        </w:rPr>
        <w:t xml:space="preserve"> under the contract</w:t>
      </w:r>
      <w:r w:rsidRPr="00DF2CEB">
        <w:rPr>
          <w:rFonts w:ascii="Calibri" w:hAnsi="Calibri"/>
          <w:sz w:val="22"/>
        </w:rPr>
        <w:t xml:space="preserve">. </w:t>
      </w:r>
      <w:r>
        <w:rPr>
          <w:rFonts w:ascii="Calibri" w:hAnsi="Calibri" w:cstheme="minorHAnsi"/>
          <w:sz w:val="22"/>
          <w:szCs w:val="22"/>
        </w:rPr>
        <w:t>N</w:t>
      </w:r>
      <w:r w:rsidRPr="002B7B6A">
        <w:rPr>
          <w:rFonts w:ascii="Calibri" w:hAnsi="Calibri"/>
          <w:sz w:val="22"/>
        </w:rPr>
        <w:t>o sole source contract will be bindi</w:t>
      </w:r>
      <w:r w:rsidR="00234B57">
        <w:rPr>
          <w:rFonts w:ascii="Calibri" w:hAnsi="Calibri"/>
          <w:sz w:val="22"/>
        </w:rPr>
        <w:t>ng unless it is approved by DES (</w:t>
      </w:r>
      <w:r w:rsidRPr="002B7B6A">
        <w:rPr>
          <w:rFonts w:ascii="Calibri" w:hAnsi="Calibri"/>
          <w:sz w:val="22"/>
        </w:rPr>
        <w:t xml:space="preserve">RCW </w:t>
      </w:r>
      <w:hyperlink r:id="rId14">
        <w:r w:rsidRPr="002B7B6A">
          <w:rPr>
            <w:rFonts w:ascii="Calibri" w:hAnsi="Calibri"/>
            <w:sz w:val="22"/>
            <w:u w:val="single" w:color="0000FF"/>
          </w:rPr>
          <w:t>39.26.140</w:t>
        </w:r>
      </w:hyperlink>
      <w:r>
        <w:rPr>
          <w:rFonts w:ascii="Calibri" w:hAnsi="Calibri"/>
          <w:sz w:val="22"/>
        </w:rPr>
        <w:t>(2)</w:t>
      </w:r>
      <w:r w:rsidR="00234B57">
        <w:rPr>
          <w:rFonts w:ascii="Calibri" w:hAnsi="Calibri"/>
          <w:sz w:val="22"/>
        </w:rPr>
        <w:t>)</w:t>
      </w:r>
      <w:r>
        <w:rPr>
          <w:rFonts w:ascii="Calibri" w:hAnsi="Calibri"/>
          <w:sz w:val="22"/>
        </w:rPr>
        <w:t xml:space="preserve">. </w:t>
      </w:r>
      <w:r w:rsidR="000073F8">
        <w:rPr>
          <w:rFonts w:ascii="Calibri" w:hAnsi="Calibri"/>
          <w:sz w:val="22"/>
        </w:rPr>
        <w:t xml:space="preserve">A </w:t>
      </w:r>
      <w:r>
        <w:rPr>
          <w:rFonts w:ascii="Calibri" w:hAnsi="Calibri"/>
          <w:sz w:val="22"/>
        </w:rPr>
        <w:t xml:space="preserve">contract </w:t>
      </w:r>
      <w:r w:rsidR="000073F8">
        <w:rPr>
          <w:rFonts w:ascii="Calibri" w:hAnsi="Calibri"/>
          <w:sz w:val="22"/>
        </w:rPr>
        <w:t xml:space="preserve">that is executed </w:t>
      </w:r>
      <w:r w:rsidRPr="00DF2CEB">
        <w:rPr>
          <w:rFonts w:ascii="Calibri" w:hAnsi="Calibri"/>
          <w:sz w:val="22"/>
        </w:rPr>
        <w:t xml:space="preserve">before DES approves </w:t>
      </w:r>
      <w:r>
        <w:rPr>
          <w:rFonts w:ascii="Calibri" w:hAnsi="Calibri"/>
          <w:sz w:val="22"/>
        </w:rPr>
        <w:t>it as a</w:t>
      </w:r>
      <w:r w:rsidRPr="00DF2CEB">
        <w:rPr>
          <w:rFonts w:ascii="Calibri" w:hAnsi="Calibri"/>
          <w:sz w:val="22"/>
        </w:rPr>
        <w:t xml:space="preserve"> sole </w:t>
      </w:r>
      <w:r w:rsidRPr="00A341D4">
        <w:rPr>
          <w:rFonts w:ascii="Calibri" w:hAnsi="Calibri"/>
          <w:sz w:val="22"/>
        </w:rPr>
        <w:t>source is null and void</w:t>
      </w:r>
      <w:r w:rsidRPr="00DF2CEB">
        <w:rPr>
          <w:rFonts w:ascii="Calibri" w:hAnsi="Calibri"/>
          <w:sz w:val="22"/>
        </w:rPr>
        <w:t>.</w:t>
      </w:r>
    </w:p>
    <w:p w14:paraId="0FA7CE8C" w14:textId="77777777" w:rsidR="00B44A68" w:rsidRDefault="00B44A68" w:rsidP="004E667E">
      <w:pPr>
        <w:pStyle w:val="NoSpacing"/>
        <w:ind w:left="450" w:right="106"/>
        <w:rPr>
          <w:rFonts w:ascii="Calibri" w:hAnsi="Calibri"/>
          <w:sz w:val="22"/>
        </w:rPr>
      </w:pPr>
    </w:p>
    <w:p w14:paraId="57E58C1B" w14:textId="77777777" w:rsidR="004E667E" w:rsidRPr="009A4772" w:rsidRDefault="004E667E" w:rsidP="00222E7E">
      <w:pPr>
        <w:pStyle w:val="NoSpacing"/>
        <w:numPr>
          <w:ilvl w:val="0"/>
          <w:numId w:val="5"/>
        </w:numPr>
        <w:ind w:right="90"/>
        <w:jc w:val="both"/>
        <w:rPr>
          <w:rFonts w:ascii="Calibri" w:hAnsi="Calibri"/>
          <w:b/>
        </w:rPr>
      </w:pPr>
      <w:r w:rsidRPr="009A4772">
        <w:rPr>
          <w:rFonts w:ascii="Calibri" w:hAnsi="Calibri" w:cstheme="minorHAnsi"/>
          <w:b/>
          <w:sz w:val="22"/>
          <w:szCs w:val="22"/>
        </w:rPr>
        <w:t>Transparency for the public.</w:t>
      </w:r>
    </w:p>
    <w:p w14:paraId="1C3CD668" w14:textId="1F882A4D" w:rsidR="004E667E" w:rsidRPr="0018618D" w:rsidRDefault="004E667E" w:rsidP="004E667E">
      <w:pPr>
        <w:pStyle w:val="TableParagraph"/>
        <w:ind w:left="450" w:right="90"/>
        <w:rPr>
          <w:rFonts w:ascii="Calibri" w:eastAsia="Times New Roman" w:hAnsi="Calibri" w:cs="Times New Roman"/>
          <w:szCs w:val="24"/>
        </w:rPr>
      </w:pPr>
      <w:r>
        <w:rPr>
          <w:rFonts w:ascii="Calibri" w:hAnsi="Calibri"/>
        </w:rPr>
        <w:t>An a</w:t>
      </w:r>
      <w:r w:rsidRPr="0018618D">
        <w:rPr>
          <w:rFonts w:ascii="Calibri" w:hAnsi="Calibri"/>
        </w:rPr>
        <w:t>genc</w:t>
      </w:r>
      <w:r>
        <w:rPr>
          <w:rFonts w:ascii="Calibri" w:hAnsi="Calibri"/>
        </w:rPr>
        <w:t>y</w:t>
      </w:r>
      <w:r w:rsidRPr="0018618D">
        <w:rPr>
          <w:rFonts w:ascii="Calibri" w:hAnsi="Calibri"/>
        </w:rPr>
        <w:t xml:space="preserve"> must make sole source contracts available for public inspection for a period of not less than 10 working days</w:t>
      </w:r>
      <w:r>
        <w:rPr>
          <w:rFonts w:ascii="Calibri" w:hAnsi="Calibri"/>
        </w:rPr>
        <w:t xml:space="preserve"> before the proposed starting date of the contract</w:t>
      </w:r>
      <w:r w:rsidRPr="0018618D">
        <w:rPr>
          <w:rFonts w:ascii="Calibri" w:hAnsi="Calibri"/>
        </w:rPr>
        <w:t>.</w:t>
      </w:r>
      <w:r>
        <w:rPr>
          <w:rFonts w:ascii="Calibri" w:hAnsi="Calibri"/>
        </w:rPr>
        <w:t xml:space="preserve"> An agency must also provide evidence to DES that it posted the contract opportunity </w:t>
      </w:r>
      <w:r w:rsidR="005C12CE">
        <w:rPr>
          <w:rFonts w:ascii="Calibri" w:hAnsi="Calibri"/>
        </w:rPr>
        <w:t xml:space="preserve">for </w:t>
      </w:r>
      <w:r>
        <w:rPr>
          <w:rFonts w:ascii="Calibri" w:hAnsi="Calibri"/>
        </w:rPr>
        <w:t xml:space="preserve">a minimum </w:t>
      </w:r>
      <w:r w:rsidR="000073F8">
        <w:rPr>
          <w:rFonts w:ascii="Calibri" w:hAnsi="Calibri"/>
        </w:rPr>
        <w:t xml:space="preserve">of five (5) working days </w:t>
      </w:r>
      <w:r>
        <w:rPr>
          <w:rFonts w:ascii="Calibri" w:hAnsi="Calibri"/>
        </w:rPr>
        <w:t>on the State’s enterprise vendor registration and bid notification system (known as Washington</w:t>
      </w:r>
      <w:r w:rsidR="009A4772">
        <w:rPr>
          <w:rFonts w:ascii="Calibri" w:hAnsi="Calibri"/>
        </w:rPr>
        <w:t>’s</w:t>
      </w:r>
      <w:r>
        <w:rPr>
          <w:rFonts w:ascii="Calibri" w:hAnsi="Calibri"/>
        </w:rPr>
        <w:t xml:space="preserve"> Electronic Business Solution (WEBS)). RCW 39.26.140(1). </w:t>
      </w:r>
      <w:r>
        <w:rPr>
          <w:rFonts w:ascii="Calibri" w:hAnsi="Calibri" w:cstheme="minorHAnsi"/>
        </w:rPr>
        <w:t xml:space="preserve">See PRO-DES-140-00A (Sole Source Contract Approval </w:t>
      </w:r>
      <w:r w:rsidR="005C12CE">
        <w:rPr>
          <w:rFonts w:ascii="Calibri" w:hAnsi="Calibri" w:cstheme="minorHAnsi"/>
        </w:rPr>
        <w:t>Procedure</w:t>
      </w:r>
      <w:r>
        <w:rPr>
          <w:rFonts w:ascii="Calibri" w:hAnsi="Calibri" w:cstheme="minorHAnsi"/>
        </w:rPr>
        <w:t xml:space="preserve">). </w:t>
      </w:r>
    </w:p>
    <w:p w14:paraId="64FA0B27" w14:textId="77777777" w:rsidR="004E667E" w:rsidRDefault="004E667E" w:rsidP="004E667E">
      <w:pPr>
        <w:pStyle w:val="NoSpacing"/>
        <w:numPr>
          <w:ilvl w:val="0"/>
          <w:numId w:val="5"/>
        </w:numPr>
        <w:ind w:right="196"/>
        <w:jc w:val="both"/>
        <w:rPr>
          <w:rFonts w:ascii="Calibri" w:hAnsi="Calibri" w:cstheme="minorHAnsi"/>
          <w:b/>
          <w:sz w:val="22"/>
          <w:szCs w:val="22"/>
        </w:rPr>
      </w:pPr>
      <w:r>
        <w:rPr>
          <w:rFonts w:ascii="Calibri" w:hAnsi="Calibri" w:cstheme="minorHAnsi"/>
          <w:b/>
          <w:sz w:val="22"/>
          <w:szCs w:val="22"/>
        </w:rPr>
        <w:lastRenderedPageBreak/>
        <w:t>Sole sou</w:t>
      </w:r>
      <w:r w:rsidR="0032493C">
        <w:rPr>
          <w:rFonts w:ascii="Calibri" w:hAnsi="Calibri" w:cstheme="minorHAnsi"/>
          <w:b/>
          <w:sz w:val="22"/>
          <w:szCs w:val="22"/>
        </w:rPr>
        <w:t>rce contract amendment approval.</w:t>
      </w:r>
    </w:p>
    <w:p w14:paraId="678AB9EC" w14:textId="33AB9B1D" w:rsidR="004E667E" w:rsidRDefault="004E667E" w:rsidP="004E667E">
      <w:pPr>
        <w:pStyle w:val="TableParagraph"/>
        <w:ind w:left="450" w:right="90"/>
        <w:rPr>
          <w:rFonts w:ascii="Calibri" w:hAnsi="Calibri" w:cstheme="minorHAnsi"/>
        </w:rPr>
      </w:pPr>
      <w:r w:rsidRPr="00A025D6">
        <w:rPr>
          <w:rFonts w:ascii="Calibri" w:hAnsi="Calibri"/>
        </w:rPr>
        <w:t>All sole source contract amendments must also be filed with</w:t>
      </w:r>
      <w:r>
        <w:rPr>
          <w:rFonts w:ascii="Calibri" w:hAnsi="Calibri"/>
        </w:rPr>
        <w:t xml:space="preserve"> DES in order to</w:t>
      </w:r>
      <w:r w:rsidRPr="00A025D6">
        <w:rPr>
          <w:rFonts w:ascii="Calibri" w:hAnsi="Calibri"/>
        </w:rPr>
        <w:t xml:space="preserve"> receive prior approval except when changes are minor or administrative in nature. Contract amendments </w:t>
      </w:r>
      <w:r>
        <w:rPr>
          <w:rFonts w:ascii="Calibri" w:hAnsi="Calibri"/>
        </w:rPr>
        <w:t xml:space="preserve">do </w:t>
      </w:r>
      <w:r w:rsidRPr="00A025D6">
        <w:rPr>
          <w:rFonts w:ascii="Calibri" w:hAnsi="Calibri"/>
        </w:rPr>
        <w:t xml:space="preserve">not need to be posted on WEBS </w:t>
      </w:r>
      <w:r>
        <w:rPr>
          <w:rFonts w:ascii="Calibri" w:hAnsi="Calibri"/>
        </w:rPr>
        <w:t xml:space="preserve">and do not </w:t>
      </w:r>
      <w:r w:rsidRPr="00A025D6">
        <w:rPr>
          <w:rFonts w:ascii="Calibri" w:hAnsi="Calibri"/>
        </w:rPr>
        <w:t xml:space="preserve">require a 10 </w:t>
      </w:r>
      <w:r w:rsidR="00C50324">
        <w:rPr>
          <w:rFonts w:ascii="Calibri" w:hAnsi="Calibri"/>
        </w:rPr>
        <w:t>working</w:t>
      </w:r>
      <w:r w:rsidRPr="00A025D6">
        <w:rPr>
          <w:rFonts w:ascii="Calibri" w:hAnsi="Calibri"/>
        </w:rPr>
        <w:t xml:space="preserve"> day public inspection period.</w:t>
      </w:r>
      <w:r w:rsidRPr="00506C25">
        <w:rPr>
          <w:rFonts w:ascii="Calibri" w:hAnsi="Calibri" w:cstheme="minorHAnsi"/>
        </w:rPr>
        <w:t xml:space="preserve"> </w:t>
      </w:r>
      <w:r>
        <w:rPr>
          <w:rFonts w:ascii="Calibri" w:hAnsi="Calibri" w:cstheme="minorHAnsi"/>
        </w:rPr>
        <w:t>See PRO-DES-140-00A (Sole Source Contract Approval Proce</w:t>
      </w:r>
      <w:r w:rsidR="00844769">
        <w:rPr>
          <w:rFonts w:ascii="Calibri" w:hAnsi="Calibri" w:cstheme="minorHAnsi"/>
        </w:rPr>
        <w:t>dure</w:t>
      </w:r>
      <w:r>
        <w:rPr>
          <w:rFonts w:ascii="Calibri" w:hAnsi="Calibri" w:cstheme="minorHAnsi"/>
        </w:rPr>
        <w:t>).</w:t>
      </w:r>
    </w:p>
    <w:p w14:paraId="596A8199" w14:textId="77777777" w:rsidR="00B44A68" w:rsidRPr="00A025D6" w:rsidRDefault="00B44A68" w:rsidP="004E667E">
      <w:pPr>
        <w:pStyle w:val="TableParagraph"/>
        <w:ind w:left="450" w:right="90"/>
        <w:rPr>
          <w:rFonts w:ascii="Calibri" w:hAnsi="Calibri"/>
        </w:rPr>
      </w:pPr>
    </w:p>
    <w:p w14:paraId="500B7C02" w14:textId="77777777" w:rsidR="004E667E" w:rsidRDefault="004E667E" w:rsidP="004E667E">
      <w:pPr>
        <w:pStyle w:val="NoSpacing"/>
        <w:numPr>
          <w:ilvl w:val="0"/>
          <w:numId w:val="5"/>
        </w:numPr>
        <w:ind w:right="196"/>
        <w:jc w:val="both"/>
        <w:rPr>
          <w:rFonts w:ascii="Calibri" w:hAnsi="Calibri" w:cstheme="minorHAnsi"/>
          <w:b/>
          <w:sz w:val="22"/>
          <w:szCs w:val="22"/>
        </w:rPr>
      </w:pPr>
      <w:r>
        <w:rPr>
          <w:rFonts w:ascii="Calibri" w:hAnsi="Calibri" w:cstheme="minorHAnsi"/>
          <w:b/>
          <w:sz w:val="22"/>
          <w:szCs w:val="22"/>
        </w:rPr>
        <w:t>Exemptions:</w:t>
      </w:r>
    </w:p>
    <w:p w14:paraId="63A13A6E" w14:textId="77777777" w:rsidR="004E667E" w:rsidRDefault="004E667E" w:rsidP="004E667E">
      <w:pPr>
        <w:pStyle w:val="TableParagraph"/>
        <w:ind w:left="450"/>
        <w:rPr>
          <w:rFonts w:ascii="Calibri" w:hAnsi="Calibri"/>
        </w:rPr>
      </w:pPr>
      <w:r>
        <w:rPr>
          <w:rFonts w:ascii="Calibri" w:hAnsi="Calibri"/>
        </w:rPr>
        <w:t>Certain</w:t>
      </w:r>
      <w:r w:rsidRPr="0058485B">
        <w:rPr>
          <w:rFonts w:ascii="Calibri" w:hAnsi="Calibri"/>
        </w:rPr>
        <w:t xml:space="preserve"> types of contracts are exempt from </w:t>
      </w:r>
      <w:r w:rsidR="000073F8">
        <w:rPr>
          <w:rFonts w:ascii="Calibri" w:hAnsi="Calibri"/>
        </w:rPr>
        <w:t xml:space="preserve">competition and </w:t>
      </w:r>
      <w:r w:rsidRPr="0058485B">
        <w:rPr>
          <w:rFonts w:ascii="Calibri" w:hAnsi="Calibri"/>
        </w:rPr>
        <w:t>this Sole Source Contracts policy:</w:t>
      </w:r>
    </w:p>
    <w:p w14:paraId="3B4B88C5"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Qualified Master Contracts</w:t>
      </w:r>
      <w:r>
        <w:rPr>
          <w:rFonts w:ascii="Calibri" w:hAnsi="Calibri"/>
        </w:rPr>
        <w:t xml:space="preserve"> and DES-approved cooperative contracts</w:t>
      </w:r>
      <w:r w:rsidRPr="0058485B">
        <w:rPr>
          <w:rFonts w:ascii="Calibri" w:hAnsi="Calibri"/>
        </w:rPr>
        <w:t>.</w:t>
      </w:r>
    </w:p>
    <w:p w14:paraId="5BCABC3D"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Exceptions to the competitive solicitation requirement, listed under RCW 39.26.125</w:t>
      </w:r>
    </w:p>
    <w:p w14:paraId="0BA465BA"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 xml:space="preserve">Qualified contracts with Community Rehabilitation Programs under RCW </w:t>
      </w:r>
      <w:hyperlink r:id="rId15">
        <w:r w:rsidRPr="0058485B">
          <w:rPr>
            <w:rFonts w:ascii="Calibri" w:hAnsi="Calibri"/>
            <w:u w:val="single" w:color="800080"/>
          </w:rPr>
          <w:t>39.26.230</w:t>
        </w:r>
      </w:hyperlink>
      <w:r w:rsidRPr="0058485B">
        <w:rPr>
          <w:rFonts w:ascii="Calibri" w:hAnsi="Calibri"/>
        </w:rPr>
        <w:t>.</w:t>
      </w:r>
    </w:p>
    <w:p w14:paraId="3CDF43D2" w14:textId="45CB80A6"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Original equipment manufacturer (OEM) maintenance service contracts and parts when procured directly from the OEM, or from the sole OEM designated reseller.  This exemption does not apply if there is more than one reseller.</w:t>
      </w:r>
    </w:p>
    <w:p w14:paraId="5C39B26B" w14:textId="77777777" w:rsidR="004E667E" w:rsidRPr="00113B48"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Software maintenance and support services when procured from the proprietary owner of the software (Owner), or from the sole Owner-designated maintenance and support service provider.  This exemption does not apply if there is more than one Owner-designated maintenance and support service provider.</w:t>
      </w:r>
    </w:p>
    <w:p w14:paraId="2C7E98A0" w14:textId="77777777" w:rsidR="004E667E" w:rsidRPr="00113B48" w:rsidRDefault="004E667E" w:rsidP="004E667E">
      <w:pPr>
        <w:pStyle w:val="ListParagraph"/>
        <w:widowControl w:val="0"/>
        <w:numPr>
          <w:ilvl w:val="0"/>
          <w:numId w:val="6"/>
        </w:numPr>
        <w:spacing w:after="0" w:line="240" w:lineRule="auto"/>
        <w:ind w:left="990" w:hanging="353"/>
        <w:contextualSpacing w:val="0"/>
        <w:rPr>
          <w:rFonts w:ascii="Calibri" w:hAnsi="Calibri"/>
        </w:rPr>
      </w:pPr>
      <w:r w:rsidRPr="00113B48">
        <w:rPr>
          <w:rFonts w:ascii="Calibri" w:hAnsi="Calibri"/>
        </w:rPr>
        <w:t xml:space="preserve">Additional software/user licenses for solutions (e.g. SAAS) that were acquired through </w:t>
      </w:r>
      <w:r>
        <w:rPr>
          <w:rFonts w:ascii="Calibri" w:hAnsi="Calibri"/>
        </w:rPr>
        <w:t xml:space="preserve">a </w:t>
      </w:r>
      <w:r w:rsidRPr="00113B48">
        <w:rPr>
          <w:rFonts w:ascii="Calibri" w:hAnsi="Calibri"/>
        </w:rPr>
        <w:t>competiti</w:t>
      </w:r>
      <w:r>
        <w:rPr>
          <w:rFonts w:ascii="Calibri" w:hAnsi="Calibri"/>
        </w:rPr>
        <w:t>ve process</w:t>
      </w:r>
      <w:r w:rsidRPr="00113B48">
        <w:rPr>
          <w:rFonts w:ascii="Calibri" w:hAnsi="Calibri"/>
        </w:rPr>
        <w:t>,</w:t>
      </w:r>
      <w:r>
        <w:rPr>
          <w:rFonts w:ascii="Calibri" w:hAnsi="Calibri"/>
        </w:rPr>
        <w:t xml:space="preserve"> provided the</w:t>
      </w:r>
      <w:r w:rsidRPr="00113B48">
        <w:rPr>
          <w:rFonts w:ascii="Calibri" w:hAnsi="Calibri"/>
        </w:rPr>
        <w:t xml:space="preserve"> additional licenses are </w:t>
      </w:r>
      <w:r w:rsidR="00C20E30">
        <w:rPr>
          <w:rFonts w:ascii="Calibri" w:hAnsi="Calibri"/>
        </w:rPr>
        <w:t>equivalent in scope</w:t>
      </w:r>
      <w:r w:rsidRPr="00113B48">
        <w:rPr>
          <w:rFonts w:ascii="Calibri" w:hAnsi="Calibri"/>
        </w:rPr>
        <w:t xml:space="preserve"> to the licenses that were included in the original purchase.</w:t>
      </w:r>
      <w:r w:rsidR="00F8472D">
        <w:rPr>
          <w:rFonts w:ascii="Calibri" w:hAnsi="Calibri"/>
        </w:rPr>
        <w:t xml:space="preserve">  Software license renewals are not exempt. </w:t>
      </w:r>
    </w:p>
    <w:p w14:paraId="0FB1FF3B"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Contracts where the vendor is specifically required by a grant or legislation.</w:t>
      </w:r>
    </w:p>
    <w:p w14:paraId="3A992A63"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Contracts for medical, surgical and dental decisions made by medical professionals.</w:t>
      </w:r>
    </w:p>
    <w:p w14:paraId="20FBFB66"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 xml:space="preserve">Contracts with Correctional Industries established under RCW </w:t>
      </w:r>
      <w:hyperlink r:id="rId16">
        <w:r w:rsidRPr="0058485B">
          <w:rPr>
            <w:rFonts w:ascii="Calibri" w:hAnsi="Calibri"/>
            <w:u w:val="single" w:color="3966BF"/>
          </w:rPr>
          <w:t>39.26.251</w:t>
        </w:r>
      </w:hyperlink>
      <w:r w:rsidRPr="0058485B">
        <w:rPr>
          <w:rFonts w:ascii="Calibri" w:hAnsi="Calibri"/>
        </w:rPr>
        <w:t>.</w:t>
      </w:r>
    </w:p>
    <w:p w14:paraId="7DE82CF3"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Pr>
          <w:rFonts w:ascii="Calibri" w:eastAsia="Times New Roman" w:hAnsi="Calibri" w:cs="Times New Roman"/>
          <w:szCs w:val="24"/>
        </w:rPr>
        <w:t>Postal and postal service when not using consolidated mail.</w:t>
      </w:r>
    </w:p>
    <w:p w14:paraId="4F116F9F" w14:textId="77777777" w:rsidR="004E667E" w:rsidRPr="00643F0C"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Utilities such as garbage, heat, sewer, cable television, power, water, fire protection and recycle services.</w:t>
      </w:r>
    </w:p>
    <w:p w14:paraId="6AF3FEA6" w14:textId="19E7236C"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Professional development obtained from a third party, such as conferences, seminars, professional license</w:t>
      </w:r>
      <w:r>
        <w:rPr>
          <w:rFonts w:ascii="Calibri" w:hAnsi="Calibri"/>
        </w:rPr>
        <w:t>s</w:t>
      </w:r>
      <w:r w:rsidR="00F25A83">
        <w:rPr>
          <w:rFonts w:ascii="Calibri" w:hAnsi="Calibri"/>
        </w:rPr>
        <w:t xml:space="preserve">, </w:t>
      </w:r>
      <w:r w:rsidRPr="0058485B">
        <w:rPr>
          <w:rFonts w:ascii="Calibri" w:hAnsi="Calibri"/>
        </w:rPr>
        <w:t>professional organization memberships, and professional publications.</w:t>
      </w:r>
    </w:p>
    <w:p w14:paraId="2D7D28FB" w14:textId="7777777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eastAsia="Times New Roman" w:hAnsi="Calibri" w:cs="Times New Roman"/>
          <w:szCs w:val="24"/>
        </w:rPr>
      </w:pPr>
      <w:r w:rsidRPr="0058485B">
        <w:rPr>
          <w:rFonts w:ascii="Calibri" w:hAnsi="Calibri"/>
        </w:rPr>
        <w:t>Replacement or repair of rental equipment when required by the rental agreement.</w:t>
      </w:r>
    </w:p>
    <w:p w14:paraId="3599F6A2" w14:textId="270233AA" w:rsidR="004E667E" w:rsidRPr="0058485B" w:rsidRDefault="00A824FE" w:rsidP="004E667E">
      <w:pPr>
        <w:pStyle w:val="ListParagraph"/>
        <w:widowControl w:val="0"/>
        <w:numPr>
          <w:ilvl w:val="0"/>
          <w:numId w:val="6"/>
        </w:numPr>
        <w:spacing w:after="0" w:line="240" w:lineRule="auto"/>
        <w:ind w:left="990" w:hanging="353"/>
        <w:contextualSpacing w:val="0"/>
        <w:rPr>
          <w:rFonts w:ascii="Calibri" w:hAnsi="Calibri"/>
        </w:rPr>
      </w:pPr>
      <w:r>
        <w:rPr>
          <w:rFonts w:ascii="Calibri" w:hAnsi="Calibri"/>
        </w:rPr>
        <w:t>Contracts with</w:t>
      </w:r>
      <w:r w:rsidR="004E667E" w:rsidRPr="0058485B">
        <w:rPr>
          <w:rFonts w:ascii="Calibri" w:hAnsi="Calibri"/>
        </w:rPr>
        <w:t xml:space="preserve"> </w:t>
      </w:r>
      <w:r>
        <w:rPr>
          <w:rFonts w:ascii="Calibri" w:hAnsi="Calibri"/>
        </w:rPr>
        <w:t>any nonprofit agency</w:t>
      </w:r>
      <w:r w:rsidR="004E667E" w:rsidRPr="0058485B">
        <w:rPr>
          <w:rFonts w:ascii="Calibri" w:hAnsi="Calibri"/>
        </w:rPr>
        <w:t xml:space="preserve"> for the blind </w:t>
      </w:r>
      <w:r>
        <w:rPr>
          <w:rFonts w:ascii="Calibri" w:hAnsi="Calibri"/>
        </w:rPr>
        <w:t xml:space="preserve">located within the state </w:t>
      </w:r>
      <w:r w:rsidR="004E667E" w:rsidRPr="0058485B">
        <w:rPr>
          <w:rFonts w:ascii="Calibri" w:hAnsi="Calibri"/>
        </w:rPr>
        <w:t xml:space="preserve">under RCW </w:t>
      </w:r>
      <w:hyperlink r:id="rId17">
        <w:r w:rsidR="004E667E" w:rsidRPr="0058485B">
          <w:rPr>
            <w:rFonts w:ascii="Calibri" w:hAnsi="Calibri"/>
            <w:u w:val="single" w:color="3966BF"/>
          </w:rPr>
          <w:t>19.06.020</w:t>
        </w:r>
      </w:hyperlink>
      <w:r w:rsidR="004E667E" w:rsidRPr="0058485B">
        <w:rPr>
          <w:rFonts w:ascii="Calibri" w:hAnsi="Calibri"/>
        </w:rPr>
        <w:t xml:space="preserve">. </w:t>
      </w:r>
    </w:p>
    <w:p w14:paraId="6E976955" w14:textId="32760627" w:rsidR="004E667E" w:rsidRPr="0058485B" w:rsidRDefault="004E667E" w:rsidP="004E667E">
      <w:pPr>
        <w:pStyle w:val="ListParagraph"/>
        <w:widowControl w:val="0"/>
        <w:numPr>
          <w:ilvl w:val="0"/>
          <w:numId w:val="6"/>
        </w:numPr>
        <w:spacing w:after="0" w:line="240" w:lineRule="auto"/>
        <w:ind w:left="990" w:hanging="353"/>
        <w:contextualSpacing w:val="0"/>
        <w:rPr>
          <w:rFonts w:ascii="Calibri" w:hAnsi="Calibri"/>
        </w:rPr>
      </w:pPr>
      <w:r w:rsidRPr="0058485B">
        <w:rPr>
          <w:rFonts w:ascii="Calibri" w:hAnsi="Calibri"/>
        </w:rPr>
        <w:t>Contracts awarded by institutio</w:t>
      </w:r>
      <w:r w:rsidR="00E51986">
        <w:rPr>
          <w:rFonts w:ascii="Calibri" w:hAnsi="Calibri"/>
        </w:rPr>
        <w:t>ns of higher education from non</w:t>
      </w:r>
      <w:r w:rsidRPr="0058485B">
        <w:rPr>
          <w:rFonts w:ascii="Calibri" w:hAnsi="Calibri"/>
        </w:rPr>
        <w:t>state funds.</w:t>
      </w:r>
    </w:p>
    <w:p w14:paraId="41B0E2D5" w14:textId="77777777" w:rsidR="004E667E" w:rsidRPr="0058485B" w:rsidRDefault="004E667E" w:rsidP="004E667E">
      <w:pPr>
        <w:pStyle w:val="ListParagraph"/>
        <w:widowControl w:val="0"/>
        <w:numPr>
          <w:ilvl w:val="0"/>
          <w:numId w:val="6"/>
        </w:numPr>
        <w:tabs>
          <w:tab w:val="left" w:pos="623"/>
        </w:tabs>
        <w:spacing w:after="0" w:line="240" w:lineRule="auto"/>
        <w:ind w:left="990" w:hanging="353"/>
        <w:contextualSpacing w:val="0"/>
        <w:rPr>
          <w:rFonts w:ascii="Calibri" w:eastAsia="Times New Roman" w:hAnsi="Calibri" w:cs="Times New Roman"/>
          <w:szCs w:val="24"/>
        </w:rPr>
      </w:pPr>
      <w:r w:rsidRPr="0058485B">
        <w:rPr>
          <w:rFonts w:ascii="Calibri" w:hAnsi="Calibri"/>
        </w:rPr>
        <w:t>Mass media services (e.g. newspapers, journals, television, radio, or billboards) only when no comparable competition exists for reaching the target audience with the intended media type.</w:t>
      </w:r>
    </w:p>
    <w:p w14:paraId="39FAD015" w14:textId="77777777" w:rsidR="004E667E" w:rsidRPr="0058485B" w:rsidRDefault="004E667E" w:rsidP="004E667E">
      <w:pPr>
        <w:pStyle w:val="ListParagraph"/>
        <w:widowControl w:val="0"/>
        <w:numPr>
          <w:ilvl w:val="0"/>
          <w:numId w:val="6"/>
        </w:numPr>
        <w:tabs>
          <w:tab w:val="left" w:pos="623"/>
        </w:tabs>
        <w:spacing w:after="0" w:line="240" w:lineRule="auto"/>
        <w:ind w:left="990" w:hanging="353"/>
        <w:contextualSpacing w:val="0"/>
        <w:rPr>
          <w:rFonts w:ascii="Calibri" w:eastAsia="Times New Roman" w:hAnsi="Calibri" w:cs="Times New Roman"/>
          <w:szCs w:val="24"/>
        </w:rPr>
      </w:pPr>
      <w:r w:rsidRPr="0058485B">
        <w:rPr>
          <w:rFonts w:ascii="Calibri" w:hAnsi="Calibri"/>
        </w:rPr>
        <w:t>Used goods to include equipment, vehicles and furniture only when no comparable competition exists.</w:t>
      </w:r>
    </w:p>
    <w:p w14:paraId="660D9323" w14:textId="77777777" w:rsidR="004E667E" w:rsidRPr="0058485B" w:rsidRDefault="004E667E" w:rsidP="004E667E">
      <w:pPr>
        <w:pStyle w:val="ListParagraph"/>
        <w:widowControl w:val="0"/>
        <w:numPr>
          <w:ilvl w:val="0"/>
          <w:numId w:val="6"/>
        </w:numPr>
        <w:tabs>
          <w:tab w:val="left" w:pos="623"/>
        </w:tabs>
        <w:spacing w:after="0" w:line="240" w:lineRule="auto"/>
        <w:ind w:left="990" w:hanging="353"/>
        <w:contextualSpacing w:val="0"/>
        <w:rPr>
          <w:rFonts w:ascii="Calibri" w:eastAsia="Times New Roman" w:hAnsi="Calibri" w:cs="Times New Roman"/>
          <w:szCs w:val="24"/>
        </w:rPr>
      </w:pPr>
      <w:r w:rsidRPr="0058485B">
        <w:rPr>
          <w:rFonts w:ascii="Calibri" w:eastAsia="Times New Roman" w:hAnsi="Calibri" w:cs="Times New Roman"/>
          <w:szCs w:val="24"/>
        </w:rPr>
        <w:t>Educational and Certification Testing services when the entity providing the services is the only recognized authority.</w:t>
      </w:r>
    </w:p>
    <w:p w14:paraId="31D299EE" w14:textId="65FAB128" w:rsidR="004E667E" w:rsidRPr="00B44A68" w:rsidRDefault="004E667E" w:rsidP="0032493C">
      <w:pPr>
        <w:pStyle w:val="ListParagraph"/>
        <w:widowControl w:val="0"/>
        <w:numPr>
          <w:ilvl w:val="0"/>
          <w:numId w:val="6"/>
        </w:numPr>
        <w:spacing w:after="0" w:line="240" w:lineRule="auto"/>
        <w:ind w:left="990" w:hanging="353"/>
        <w:contextualSpacing w:val="0"/>
        <w:rPr>
          <w:rFonts w:ascii="Calibri" w:hAnsi="Calibri"/>
        </w:rPr>
      </w:pPr>
      <w:r w:rsidRPr="0058485B">
        <w:rPr>
          <w:rFonts w:ascii="Calibri" w:eastAsia="Times New Roman" w:hAnsi="Calibri" w:cs="Times New Roman"/>
          <w:szCs w:val="24"/>
        </w:rPr>
        <w:t>Accreditation services when the entity providing the accreditation is the only recognized authority.</w:t>
      </w:r>
    </w:p>
    <w:p w14:paraId="5D6B3EEB" w14:textId="77777777" w:rsidR="00B44A68" w:rsidRPr="0032493C" w:rsidRDefault="00B44A68" w:rsidP="00B44A68">
      <w:pPr>
        <w:pStyle w:val="ListParagraph"/>
        <w:widowControl w:val="0"/>
        <w:spacing w:after="0" w:line="240" w:lineRule="auto"/>
        <w:ind w:left="990"/>
        <w:contextualSpacing w:val="0"/>
        <w:rPr>
          <w:rFonts w:ascii="Calibri" w:hAnsi="Calibri"/>
        </w:rPr>
      </w:pPr>
    </w:p>
    <w:p w14:paraId="77680EBB" w14:textId="77777777" w:rsidR="004E667E" w:rsidRPr="00CC7D66" w:rsidRDefault="004E667E" w:rsidP="004E667E">
      <w:pPr>
        <w:pStyle w:val="TableParagraph"/>
        <w:numPr>
          <w:ilvl w:val="0"/>
          <w:numId w:val="5"/>
        </w:numPr>
        <w:rPr>
          <w:rFonts w:ascii="Calibri" w:hAnsi="Calibri"/>
          <w:b/>
        </w:rPr>
      </w:pPr>
      <w:r>
        <w:rPr>
          <w:rFonts w:ascii="Calibri" w:hAnsi="Calibri"/>
          <w:b/>
        </w:rPr>
        <w:t>Request for Exemptions not listed above</w:t>
      </w:r>
      <w:r w:rsidR="0032493C">
        <w:rPr>
          <w:rFonts w:ascii="Calibri" w:hAnsi="Calibri" w:cstheme="minorHAnsi"/>
          <w:b/>
        </w:rPr>
        <w:t>.</w:t>
      </w:r>
    </w:p>
    <w:p w14:paraId="6E0A22E1" w14:textId="7659B315" w:rsidR="004E667E" w:rsidRDefault="004E667E" w:rsidP="004E667E">
      <w:pPr>
        <w:pStyle w:val="NoSpacing"/>
        <w:ind w:left="450" w:right="196"/>
        <w:rPr>
          <w:rFonts w:ascii="Calibri" w:hAnsi="Calibri"/>
          <w:sz w:val="22"/>
        </w:rPr>
      </w:pPr>
      <w:r w:rsidRPr="00CC7D66">
        <w:rPr>
          <w:rFonts w:ascii="Calibri" w:hAnsi="Calibri"/>
          <w:sz w:val="22"/>
        </w:rPr>
        <w:t xml:space="preserve">If </w:t>
      </w:r>
      <w:r>
        <w:rPr>
          <w:rFonts w:ascii="Calibri" w:hAnsi="Calibri"/>
          <w:sz w:val="22"/>
        </w:rPr>
        <w:t>necessary to support a business need</w:t>
      </w:r>
      <w:r w:rsidRPr="00CC7D66">
        <w:rPr>
          <w:rFonts w:ascii="Calibri" w:hAnsi="Calibri"/>
          <w:sz w:val="22"/>
        </w:rPr>
        <w:t>, agencies may request an exemption</w:t>
      </w:r>
      <w:r w:rsidR="00F25A83">
        <w:rPr>
          <w:rFonts w:ascii="Calibri" w:hAnsi="Calibri"/>
          <w:sz w:val="22"/>
        </w:rPr>
        <w:t xml:space="preserve"> from competition and this policy</w:t>
      </w:r>
      <w:r w:rsidRPr="00CC7D66">
        <w:rPr>
          <w:rFonts w:ascii="Calibri" w:hAnsi="Calibri"/>
          <w:sz w:val="22"/>
        </w:rPr>
        <w:t xml:space="preserve"> for a specific contract or category of contracts. Such requests </w:t>
      </w:r>
      <w:r>
        <w:rPr>
          <w:rFonts w:ascii="Calibri" w:hAnsi="Calibri"/>
          <w:sz w:val="22"/>
        </w:rPr>
        <w:t>must</w:t>
      </w:r>
      <w:r w:rsidRPr="00CC7D66">
        <w:rPr>
          <w:rFonts w:ascii="Calibri" w:hAnsi="Calibri"/>
          <w:sz w:val="22"/>
        </w:rPr>
        <w:t xml:space="preserve"> be addressed to the DES </w:t>
      </w:r>
      <w:r>
        <w:rPr>
          <w:rFonts w:ascii="Calibri" w:hAnsi="Calibri"/>
          <w:sz w:val="22"/>
        </w:rPr>
        <w:t>D</w:t>
      </w:r>
      <w:r w:rsidRPr="00CC7D66">
        <w:rPr>
          <w:rFonts w:ascii="Calibri" w:hAnsi="Calibri"/>
          <w:sz w:val="22"/>
        </w:rPr>
        <w:t xml:space="preserve">irector and signed by the </w:t>
      </w:r>
      <w:r>
        <w:rPr>
          <w:rFonts w:ascii="Calibri" w:hAnsi="Calibri"/>
          <w:sz w:val="22"/>
        </w:rPr>
        <w:t>A</w:t>
      </w:r>
      <w:r w:rsidRPr="00CC7D66">
        <w:rPr>
          <w:rFonts w:ascii="Calibri" w:hAnsi="Calibri"/>
          <w:sz w:val="22"/>
        </w:rPr>
        <w:t xml:space="preserve">gency </w:t>
      </w:r>
      <w:r>
        <w:rPr>
          <w:rFonts w:ascii="Calibri" w:hAnsi="Calibri"/>
          <w:sz w:val="22"/>
        </w:rPr>
        <w:t>H</w:t>
      </w:r>
      <w:r w:rsidRPr="00CC7D66">
        <w:rPr>
          <w:rFonts w:ascii="Calibri" w:hAnsi="Calibri"/>
          <w:sz w:val="22"/>
        </w:rPr>
        <w:t>ead. The request must include a detail</w:t>
      </w:r>
      <w:bookmarkStart w:id="0" w:name="_GoBack"/>
      <w:bookmarkEnd w:id="0"/>
      <w:r w:rsidRPr="00CC7D66">
        <w:rPr>
          <w:rFonts w:ascii="Calibri" w:hAnsi="Calibri"/>
          <w:sz w:val="22"/>
        </w:rPr>
        <w:t>ed explanation of the proposed exemption and how granting the request aligns with the intent of the law.</w:t>
      </w:r>
    </w:p>
    <w:p w14:paraId="6A38142D" w14:textId="77777777" w:rsidR="00B44A68" w:rsidRPr="00CC7D66" w:rsidRDefault="00B44A68" w:rsidP="004E667E">
      <w:pPr>
        <w:pStyle w:val="NoSpacing"/>
        <w:ind w:left="450" w:right="196"/>
        <w:rPr>
          <w:rFonts w:ascii="Calibri" w:hAnsi="Calibri" w:cstheme="minorHAnsi"/>
          <w:b/>
          <w:sz w:val="22"/>
          <w:szCs w:val="22"/>
          <w:u w:val="single"/>
        </w:rPr>
      </w:pPr>
    </w:p>
    <w:p w14:paraId="15E8F0D3" w14:textId="77777777" w:rsidR="004E667E" w:rsidRDefault="004E667E" w:rsidP="004E667E">
      <w:pPr>
        <w:pStyle w:val="TableParagraph"/>
        <w:numPr>
          <w:ilvl w:val="0"/>
          <w:numId w:val="5"/>
        </w:numPr>
        <w:rPr>
          <w:rFonts w:ascii="Calibri" w:hAnsi="Calibri"/>
          <w:b/>
        </w:rPr>
      </w:pPr>
      <w:r>
        <w:rPr>
          <w:rFonts w:ascii="Calibri" w:hAnsi="Calibri"/>
          <w:b/>
        </w:rPr>
        <w:t>I</w:t>
      </w:r>
      <w:r w:rsidR="0032493C">
        <w:rPr>
          <w:rFonts w:ascii="Calibri" w:hAnsi="Calibri"/>
          <w:b/>
        </w:rPr>
        <w:t>nformation Technology Contracts.</w:t>
      </w:r>
    </w:p>
    <w:p w14:paraId="246B9576" w14:textId="046B03C1" w:rsidR="004E667E" w:rsidRDefault="004E667E" w:rsidP="004E667E">
      <w:pPr>
        <w:pStyle w:val="TableParagraph"/>
        <w:ind w:left="450"/>
        <w:rPr>
          <w:rFonts w:ascii="Calibri" w:hAnsi="Calibri"/>
        </w:rPr>
      </w:pPr>
      <w:r w:rsidRPr="00CC7D66">
        <w:rPr>
          <w:rFonts w:ascii="Calibri" w:hAnsi="Calibri"/>
        </w:rPr>
        <w:t xml:space="preserve">All applicable information technology (IT) related sole source contracts must also conform to </w:t>
      </w:r>
      <w:hyperlink r:id="rId18" w:history="1">
        <w:r w:rsidR="00067344">
          <w:rPr>
            <w:rStyle w:val="Hyperlink"/>
            <w:rFonts w:ascii="Calibri" w:hAnsi="Calibri"/>
          </w:rPr>
          <w:t xml:space="preserve">OCIO Policy </w:t>
        </w:r>
        <w:r w:rsidR="00067344">
          <w:rPr>
            <w:rStyle w:val="Hyperlink"/>
            <w:rFonts w:ascii="Calibri" w:hAnsi="Calibri"/>
          </w:rPr>
          <w:lastRenderedPageBreak/>
          <w:t>#121</w:t>
        </w:r>
      </w:hyperlink>
      <w:r w:rsidR="00D84A30" w:rsidRPr="00D84A30">
        <w:rPr>
          <w:rFonts w:ascii="Calibri" w:hAnsi="Calibri"/>
        </w:rPr>
        <w:t>.</w:t>
      </w:r>
      <w:r w:rsidR="00D84A30">
        <w:rPr>
          <w:rFonts w:ascii="Calibri" w:hAnsi="Calibri"/>
          <w:u w:color="800080"/>
        </w:rPr>
        <w:t xml:space="preserve"> </w:t>
      </w:r>
      <w:r w:rsidRPr="00CC7D66">
        <w:rPr>
          <w:rFonts w:ascii="Calibri" w:hAnsi="Calibri" w:cs="Arial"/>
          <w:szCs w:val="20"/>
        </w:rPr>
        <w:t xml:space="preserve">Agencies should confer with the OCIO and confirm if OCIO approval is required. </w:t>
      </w:r>
      <w:r>
        <w:rPr>
          <w:rFonts w:ascii="Calibri" w:hAnsi="Calibri" w:cs="Arial"/>
          <w:szCs w:val="20"/>
        </w:rPr>
        <w:t xml:space="preserve">Similarly, </w:t>
      </w:r>
      <w:r w:rsidRPr="00CC7D66">
        <w:rPr>
          <w:rFonts w:ascii="Calibri" w:hAnsi="Calibri" w:cs="Arial"/>
          <w:szCs w:val="20"/>
        </w:rPr>
        <w:t>DES will be available</w:t>
      </w:r>
      <w:r>
        <w:rPr>
          <w:rFonts w:ascii="Calibri" w:hAnsi="Calibri" w:cs="Arial"/>
          <w:szCs w:val="20"/>
        </w:rPr>
        <w:t xml:space="preserve"> to answer the agencies’ IT sole source contract questions</w:t>
      </w:r>
      <w:r w:rsidRPr="00CC7D66">
        <w:rPr>
          <w:rFonts w:ascii="Calibri" w:hAnsi="Calibri"/>
        </w:rPr>
        <w:t>.</w:t>
      </w:r>
    </w:p>
    <w:p w14:paraId="187BAAD4" w14:textId="77777777" w:rsidR="00B44A68" w:rsidRPr="00CC7D66" w:rsidRDefault="00B44A68" w:rsidP="004E667E">
      <w:pPr>
        <w:pStyle w:val="TableParagraph"/>
        <w:ind w:left="450"/>
        <w:rPr>
          <w:rFonts w:ascii="Calibri" w:hAnsi="Calibri"/>
          <w:b/>
        </w:rPr>
      </w:pPr>
    </w:p>
    <w:p w14:paraId="4E519C4B" w14:textId="77777777" w:rsidR="004E667E" w:rsidRDefault="004E667E" w:rsidP="004E667E">
      <w:pPr>
        <w:pStyle w:val="TableParagraph"/>
        <w:numPr>
          <w:ilvl w:val="0"/>
          <w:numId w:val="5"/>
        </w:numPr>
        <w:rPr>
          <w:rFonts w:ascii="Calibri" w:hAnsi="Calibri"/>
          <w:b/>
        </w:rPr>
      </w:pPr>
      <w:r>
        <w:rPr>
          <w:rFonts w:ascii="Calibri" w:hAnsi="Calibri"/>
          <w:b/>
        </w:rPr>
        <w:t>Compliance</w:t>
      </w:r>
      <w:r w:rsidR="0032493C">
        <w:rPr>
          <w:rFonts w:ascii="Calibri" w:hAnsi="Calibri"/>
          <w:b/>
        </w:rPr>
        <w:t>.</w:t>
      </w:r>
    </w:p>
    <w:p w14:paraId="2BE5CD94" w14:textId="77777777" w:rsidR="004E667E" w:rsidRPr="001713C7" w:rsidRDefault="004E667E" w:rsidP="001713C7">
      <w:pPr>
        <w:pStyle w:val="NoSpacing"/>
        <w:ind w:left="450"/>
        <w:rPr>
          <w:rStyle w:val="Hyperlink"/>
          <w:rFonts w:ascii="Calibri" w:hAnsi="Calibri"/>
          <w:color w:val="auto"/>
          <w:sz w:val="22"/>
          <w:u w:val="none"/>
        </w:rPr>
      </w:pPr>
      <w:r w:rsidRPr="000D5FD4">
        <w:rPr>
          <w:rFonts w:ascii="Calibri" w:eastAsia="Times New Roman" w:hAnsi="Calibri" w:cs="Times New Roman"/>
          <w:sz w:val="22"/>
          <w:szCs w:val="24"/>
        </w:rPr>
        <w:t>Agency sole source compliance</w:t>
      </w:r>
      <w:r>
        <w:rPr>
          <w:rFonts w:ascii="Calibri" w:eastAsia="Times New Roman" w:hAnsi="Calibri" w:cs="Times New Roman"/>
          <w:sz w:val="22"/>
          <w:szCs w:val="24"/>
        </w:rPr>
        <w:t>,</w:t>
      </w:r>
      <w:r w:rsidRPr="000D5FD4">
        <w:rPr>
          <w:rFonts w:ascii="Calibri" w:eastAsia="Times New Roman" w:hAnsi="Calibri" w:cs="Times New Roman"/>
          <w:sz w:val="22"/>
          <w:szCs w:val="24"/>
        </w:rPr>
        <w:t xml:space="preserve"> including </w:t>
      </w:r>
      <w:r>
        <w:rPr>
          <w:rFonts w:ascii="Calibri" w:eastAsia="Times New Roman" w:hAnsi="Calibri" w:cs="Times New Roman"/>
          <w:sz w:val="22"/>
          <w:szCs w:val="24"/>
        </w:rPr>
        <w:t xml:space="preserve">adherence to </w:t>
      </w:r>
      <w:r w:rsidRPr="000D5FD4">
        <w:rPr>
          <w:rFonts w:ascii="Calibri" w:eastAsia="Times New Roman" w:hAnsi="Calibri" w:cs="Times New Roman"/>
          <w:sz w:val="22"/>
          <w:szCs w:val="24"/>
        </w:rPr>
        <w:t>the requirements of this policy</w:t>
      </w:r>
      <w:r>
        <w:rPr>
          <w:rFonts w:ascii="Calibri" w:eastAsia="Times New Roman" w:hAnsi="Calibri" w:cs="Times New Roman"/>
          <w:sz w:val="22"/>
          <w:szCs w:val="24"/>
        </w:rPr>
        <w:t>,</w:t>
      </w:r>
      <w:r w:rsidRPr="000D5FD4">
        <w:rPr>
          <w:rFonts w:ascii="Calibri" w:eastAsia="Times New Roman" w:hAnsi="Calibri" w:cs="Times New Roman"/>
          <w:sz w:val="22"/>
          <w:szCs w:val="24"/>
        </w:rPr>
        <w:t xml:space="preserve"> will be a consideration in the agency’s </w:t>
      </w:r>
      <w:r>
        <w:rPr>
          <w:rFonts w:ascii="Calibri" w:eastAsia="Times New Roman" w:hAnsi="Calibri" w:cs="Times New Roman"/>
          <w:sz w:val="22"/>
          <w:szCs w:val="24"/>
        </w:rPr>
        <w:t xml:space="preserve">procurement </w:t>
      </w:r>
      <w:r w:rsidRPr="000D5FD4">
        <w:rPr>
          <w:rFonts w:ascii="Calibri" w:eastAsia="Times New Roman" w:hAnsi="Calibri" w:cs="Times New Roman"/>
          <w:sz w:val="22"/>
          <w:szCs w:val="24"/>
        </w:rPr>
        <w:t xml:space="preserve">risk </w:t>
      </w:r>
      <w:r>
        <w:rPr>
          <w:rFonts w:ascii="Calibri" w:eastAsia="Times New Roman" w:hAnsi="Calibri" w:cs="Times New Roman"/>
          <w:sz w:val="22"/>
          <w:szCs w:val="24"/>
        </w:rPr>
        <w:t>assessment</w:t>
      </w:r>
      <w:r w:rsidRPr="000D5FD4">
        <w:rPr>
          <w:rFonts w:ascii="Calibri" w:eastAsia="Times New Roman" w:hAnsi="Calibri" w:cs="Times New Roman"/>
          <w:sz w:val="22"/>
          <w:szCs w:val="24"/>
        </w:rPr>
        <w:t xml:space="preserve"> and may influence the agency’s</w:t>
      </w:r>
      <w:r>
        <w:rPr>
          <w:rFonts w:ascii="Calibri" w:eastAsia="Times New Roman" w:hAnsi="Calibri" w:cs="Times New Roman"/>
          <w:sz w:val="22"/>
          <w:szCs w:val="24"/>
        </w:rPr>
        <w:t xml:space="preserve"> procurement</w:t>
      </w:r>
      <w:r w:rsidRPr="000D5FD4">
        <w:rPr>
          <w:rFonts w:ascii="Calibri" w:eastAsia="Times New Roman" w:hAnsi="Calibri" w:cs="Times New Roman"/>
          <w:sz w:val="22"/>
          <w:szCs w:val="24"/>
        </w:rPr>
        <w:t xml:space="preserve"> delegation of authority.</w:t>
      </w:r>
    </w:p>
    <w:p w14:paraId="2A0C628F" w14:textId="77777777" w:rsidR="000A00BA" w:rsidRDefault="00BB7877" w:rsidP="00C666A6">
      <w:pPr>
        <w:pStyle w:val="Heading1"/>
        <w:pBdr>
          <w:top w:val="single" w:sz="4" w:space="1" w:color="auto"/>
        </w:pBdr>
      </w:pPr>
      <w:r>
        <w:t>Procedures</w:t>
      </w:r>
    </w:p>
    <w:p w14:paraId="382DDFD7" w14:textId="5E38B7B6" w:rsidR="0032493C" w:rsidRPr="0032493C" w:rsidRDefault="00B17253" w:rsidP="0032493C">
      <w:pPr>
        <w:spacing w:after="0" w:line="240" w:lineRule="auto"/>
        <w:rPr>
          <w:rFonts w:cstheme="minorHAnsi"/>
          <w:lang w:eastAsia="zh-TW" w:bidi="en-US"/>
        </w:rPr>
      </w:pPr>
      <w:r>
        <w:rPr>
          <w:b/>
        </w:rPr>
        <w:t>Procedure</w:t>
      </w:r>
      <w:r w:rsidRPr="00B17253">
        <w:rPr>
          <w:b/>
        </w:rPr>
        <w:t>:</w:t>
      </w:r>
      <w:r w:rsidRPr="00B17253">
        <w:t xml:space="preserve">  </w:t>
      </w:r>
      <w:r w:rsidR="0032493C" w:rsidRPr="00B22A32">
        <w:rPr>
          <w:rFonts w:cstheme="minorHAnsi"/>
          <w:lang w:eastAsia="zh-TW" w:bidi="en-US"/>
        </w:rPr>
        <w:t>PRO-</w:t>
      </w:r>
      <w:r w:rsidR="0032493C">
        <w:rPr>
          <w:rFonts w:cstheme="minorHAnsi"/>
          <w:lang w:eastAsia="zh-TW" w:bidi="en-US"/>
        </w:rPr>
        <w:t>DES-140-00</w:t>
      </w:r>
      <w:r w:rsidR="005644BF">
        <w:rPr>
          <w:rFonts w:cstheme="minorHAnsi"/>
          <w:lang w:eastAsia="zh-TW" w:bidi="en-US"/>
        </w:rPr>
        <w:t>A</w:t>
      </w:r>
    </w:p>
    <w:p w14:paraId="52F1176B" w14:textId="77777777" w:rsidR="00A76FE6" w:rsidRDefault="00C264CA" w:rsidP="00A76FE6">
      <w:pPr>
        <w:pStyle w:val="Heading1"/>
        <w:pBdr>
          <w:top w:val="single" w:sz="4" w:space="1" w:color="auto"/>
        </w:pBdr>
      </w:pPr>
      <w:r>
        <w:t>Appendices</w:t>
      </w:r>
    </w:p>
    <w:p w14:paraId="061C3552" w14:textId="77777777" w:rsidR="00A76FE6" w:rsidRPr="00B17253" w:rsidRDefault="00A76FE6" w:rsidP="0032493C">
      <w:r w:rsidRPr="00B17253">
        <w:t xml:space="preserve">There are no </w:t>
      </w:r>
      <w:r w:rsidR="00C264CA">
        <w:t>appendices</w:t>
      </w:r>
      <w:r>
        <w:t xml:space="preserve"> associated with this policy</w:t>
      </w:r>
    </w:p>
    <w:p w14:paraId="03364F47" w14:textId="77777777" w:rsidR="00C264CA" w:rsidRDefault="00C264CA" w:rsidP="00C264CA">
      <w:pPr>
        <w:pStyle w:val="Heading1"/>
        <w:pBdr>
          <w:top w:val="single" w:sz="4" w:space="1" w:color="auto"/>
        </w:pBdr>
      </w:pPr>
      <w:r>
        <w:t>Forms/Instructions</w:t>
      </w:r>
    </w:p>
    <w:p w14:paraId="558C0B04" w14:textId="77777777" w:rsidR="00C264CA" w:rsidRPr="00B17253" w:rsidRDefault="00C264CA" w:rsidP="0032493C">
      <w:r w:rsidRPr="00B17253">
        <w:t>There are no fo</w:t>
      </w:r>
      <w:r>
        <w:t>rm</w:t>
      </w:r>
      <w:r w:rsidR="0032493C">
        <w:t>s associated with this policy</w:t>
      </w:r>
    </w:p>
    <w:p w14:paraId="788F8972" w14:textId="77777777" w:rsidR="00B17253" w:rsidRDefault="00B17253" w:rsidP="00A76FE6">
      <w:pPr>
        <w:pStyle w:val="Heading1"/>
        <w:pBdr>
          <w:top w:val="single" w:sz="4" w:space="1" w:color="auto"/>
        </w:pBdr>
      </w:pPr>
      <w:r>
        <w:t>Frequently Asked Questions</w:t>
      </w:r>
    </w:p>
    <w:p w14:paraId="3598C7F6" w14:textId="77777777" w:rsidR="00B17253" w:rsidRPr="0032493C" w:rsidRDefault="00B17253" w:rsidP="0032493C">
      <w:pPr>
        <w:spacing w:after="0" w:line="240" w:lineRule="auto"/>
        <w:rPr>
          <w:rFonts w:cstheme="minorHAnsi"/>
          <w:lang w:eastAsia="zh-TW" w:bidi="en-US"/>
        </w:rPr>
      </w:pPr>
      <w:r>
        <w:rPr>
          <w:b/>
        </w:rPr>
        <w:t>FAQ</w:t>
      </w:r>
      <w:r w:rsidRPr="00B17253">
        <w:rPr>
          <w:b/>
        </w:rPr>
        <w:t>:</w:t>
      </w:r>
      <w:r w:rsidRPr="00B17253">
        <w:t xml:space="preserve">  </w:t>
      </w:r>
      <w:r w:rsidR="0032493C">
        <w:rPr>
          <w:rFonts w:cstheme="minorHAnsi"/>
          <w:lang w:eastAsia="zh-TW" w:bidi="en-US"/>
        </w:rPr>
        <w:t>Sole Source Frequently Asked Questions</w:t>
      </w:r>
    </w:p>
    <w:p w14:paraId="413BF16C" w14:textId="77777777" w:rsidR="00CE6479" w:rsidRDefault="00CE6479" w:rsidP="00C264CA">
      <w:pPr>
        <w:pStyle w:val="Heading1"/>
        <w:pBdr>
          <w:top w:val="single" w:sz="4" w:space="1" w:color="auto"/>
        </w:pBdr>
      </w:pPr>
      <w:r w:rsidRPr="00D0246A">
        <w:t>History</w:t>
      </w:r>
    </w:p>
    <w:p w14:paraId="33A999E5" w14:textId="77777777" w:rsidR="00C264CA" w:rsidRPr="00C264CA" w:rsidRDefault="0002662C" w:rsidP="00C264CA">
      <w:r>
        <w:t>Adopted July 1, 2013</w:t>
      </w:r>
    </w:p>
    <w:p w14:paraId="0C81C1FB" w14:textId="77777777" w:rsidR="00CE6479" w:rsidRDefault="00CE6479" w:rsidP="00157A23">
      <w:pPr>
        <w:pStyle w:val="Heading2"/>
        <w:ind w:left="360"/>
      </w:pPr>
      <w:r w:rsidRPr="00D0246A">
        <w:t>Amended</w:t>
      </w:r>
    </w:p>
    <w:p w14:paraId="68FB8137" w14:textId="77777777" w:rsidR="00F935E8" w:rsidRDefault="0002662C" w:rsidP="0002662C">
      <w:pPr>
        <w:pStyle w:val="InfoBlock"/>
        <w:spacing w:before="0" w:after="0"/>
        <w:ind w:left="360"/>
        <w:rPr>
          <w:rFonts w:asciiTheme="minorHAnsi" w:hAnsiTheme="minorHAnsi" w:cstheme="minorHAnsi"/>
          <w:sz w:val="22"/>
          <w:szCs w:val="22"/>
        </w:rPr>
      </w:pPr>
      <w:r>
        <w:rPr>
          <w:rFonts w:asciiTheme="minorHAnsi" w:hAnsiTheme="minorHAnsi" w:cstheme="minorHAnsi"/>
          <w:sz w:val="22"/>
          <w:szCs w:val="22"/>
        </w:rPr>
        <w:t>March 9, 2015</w:t>
      </w:r>
    </w:p>
    <w:p w14:paraId="1398FC51" w14:textId="77777777" w:rsidR="0002662C" w:rsidRDefault="0002662C" w:rsidP="0002662C">
      <w:pPr>
        <w:pStyle w:val="InfoBlock"/>
        <w:spacing w:before="0" w:after="0"/>
        <w:ind w:left="360"/>
        <w:rPr>
          <w:rFonts w:asciiTheme="minorHAnsi" w:hAnsiTheme="minorHAnsi" w:cstheme="minorHAnsi"/>
          <w:sz w:val="22"/>
          <w:szCs w:val="22"/>
        </w:rPr>
      </w:pPr>
      <w:r>
        <w:rPr>
          <w:rFonts w:asciiTheme="minorHAnsi" w:hAnsiTheme="minorHAnsi" w:cstheme="minorHAnsi"/>
          <w:sz w:val="22"/>
          <w:szCs w:val="22"/>
        </w:rPr>
        <w:t>Added exemptions 19 and 20.</w:t>
      </w:r>
    </w:p>
    <w:p w14:paraId="6F146107" w14:textId="77777777" w:rsidR="0002662C" w:rsidRDefault="0002662C" w:rsidP="0002662C">
      <w:pPr>
        <w:pStyle w:val="InfoBlock"/>
        <w:spacing w:before="0" w:after="0"/>
        <w:ind w:left="360"/>
        <w:rPr>
          <w:rFonts w:asciiTheme="minorHAnsi" w:hAnsiTheme="minorHAnsi" w:cstheme="minorHAnsi"/>
          <w:sz w:val="22"/>
          <w:szCs w:val="22"/>
        </w:rPr>
      </w:pPr>
      <w:r>
        <w:rPr>
          <w:rFonts w:asciiTheme="minorHAnsi" w:hAnsiTheme="minorHAnsi" w:cstheme="minorHAnsi"/>
          <w:sz w:val="22"/>
          <w:szCs w:val="22"/>
        </w:rPr>
        <w:t>Added section numbering.</w:t>
      </w:r>
    </w:p>
    <w:p w14:paraId="7BDB2CD2" w14:textId="77777777" w:rsidR="0002662C" w:rsidRDefault="0002662C" w:rsidP="0002662C">
      <w:pPr>
        <w:pStyle w:val="InfoBlock"/>
        <w:spacing w:before="0" w:after="0"/>
        <w:ind w:left="360"/>
        <w:rPr>
          <w:rFonts w:asciiTheme="minorHAnsi" w:hAnsiTheme="minorHAnsi" w:cstheme="minorHAnsi"/>
          <w:sz w:val="22"/>
          <w:szCs w:val="22"/>
        </w:rPr>
      </w:pPr>
      <w:r>
        <w:rPr>
          <w:rFonts w:asciiTheme="minorHAnsi" w:hAnsiTheme="minorHAnsi" w:cstheme="minorHAnsi"/>
          <w:sz w:val="22"/>
          <w:szCs w:val="22"/>
        </w:rPr>
        <w:t>Added revision date.</w:t>
      </w:r>
    </w:p>
    <w:p w14:paraId="2253680E" w14:textId="77777777" w:rsidR="0002662C" w:rsidRDefault="0002662C" w:rsidP="0002662C">
      <w:pPr>
        <w:pStyle w:val="InfoBlock"/>
        <w:spacing w:before="0" w:after="0"/>
        <w:ind w:left="360"/>
        <w:rPr>
          <w:rFonts w:asciiTheme="minorHAnsi" w:hAnsiTheme="minorHAnsi" w:cstheme="minorHAnsi"/>
          <w:sz w:val="22"/>
          <w:szCs w:val="22"/>
        </w:rPr>
      </w:pPr>
      <w:r>
        <w:rPr>
          <w:rFonts w:asciiTheme="minorHAnsi" w:hAnsiTheme="minorHAnsi" w:cstheme="minorHAnsi"/>
          <w:sz w:val="22"/>
          <w:szCs w:val="22"/>
        </w:rPr>
        <w:t>Minor formatting changes.</w:t>
      </w:r>
    </w:p>
    <w:p w14:paraId="74CBACFC" w14:textId="77777777" w:rsidR="0002662C" w:rsidRDefault="0002662C" w:rsidP="0002662C">
      <w:pPr>
        <w:pStyle w:val="InfoBlock"/>
        <w:spacing w:before="0" w:after="0"/>
        <w:ind w:left="360"/>
        <w:rPr>
          <w:rFonts w:asciiTheme="minorHAnsi" w:hAnsiTheme="minorHAnsi" w:cstheme="minorHAnsi"/>
          <w:sz w:val="22"/>
          <w:szCs w:val="22"/>
        </w:rPr>
      </w:pPr>
      <w:r>
        <w:rPr>
          <w:rFonts w:asciiTheme="minorHAnsi" w:hAnsiTheme="minorHAnsi" w:cstheme="minorHAnsi"/>
          <w:sz w:val="22"/>
          <w:szCs w:val="22"/>
        </w:rPr>
        <w:t>Moved FAQs to centralized webpage.</w:t>
      </w:r>
    </w:p>
    <w:p w14:paraId="44B83FD3" w14:textId="77777777" w:rsidR="0002662C" w:rsidRDefault="0002662C" w:rsidP="0002662C">
      <w:pPr>
        <w:pStyle w:val="InfoBlock"/>
        <w:spacing w:before="0" w:after="0"/>
        <w:ind w:left="360"/>
        <w:rPr>
          <w:rFonts w:asciiTheme="minorHAnsi" w:hAnsiTheme="minorHAnsi" w:cstheme="minorHAnsi"/>
          <w:sz w:val="22"/>
          <w:szCs w:val="22"/>
        </w:rPr>
      </w:pPr>
    </w:p>
    <w:p w14:paraId="6B755A4A" w14:textId="4F2B25E6" w:rsidR="0002662C" w:rsidRDefault="00A341D4" w:rsidP="0002662C">
      <w:pPr>
        <w:pStyle w:val="InfoBlock"/>
        <w:spacing w:before="0" w:after="0"/>
        <w:ind w:left="360"/>
        <w:rPr>
          <w:rFonts w:asciiTheme="minorHAnsi" w:hAnsiTheme="minorHAnsi" w:cstheme="minorHAnsi"/>
          <w:sz w:val="22"/>
          <w:szCs w:val="22"/>
        </w:rPr>
      </w:pPr>
      <w:r>
        <w:rPr>
          <w:rFonts w:asciiTheme="minorHAnsi" w:hAnsiTheme="minorHAnsi" w:cstheme="minorHAnsi"/>
          <w:sz w:val="22"/>
          <w:szCs w:val="22"/>
        </w:rPr>
        <w:t>_______</w:t>
      </w:r>
      <w:r w:rsidR="0002662C">
        <w:rPr>
          <w:rFonts w:asciiTheme="minorHAnsi" w:hAnsiTheme="minorHAnsi" w:cstheme="minorHAnsi"/>
          <w:sz w:val="22"/>
          <w:szCs w:val="22"/>
        </w:rPr>
        <w:t>__, 2019</w:t>
      </w:r>
    </w:p>
    <w:p w14:paraId="1015C485" w14:textId="77777777" w:rsidR="0002662C" w:rsidRDefault="0002662C" w:rsidP="0002662C">
      <w:pPr>
        <w:pStyle w:val="ListParagraph"/>
        <w:numPr>
          <w:ilvl w:val="0"/>
          <w:numId w:val="4"/>
        </w:numPr>
        <w:spacing w:line="240" w:lineRule="auto"/>
        <w:rPr>
          <w:rFonts w:cstheme="minorHAnsi"/>
          <w:szCs w:val="20"/>
          <w:lang w:bidi="en-US"/>
        </w:rPr>
      </w:pPr>
      <w:r>
        <w:rPr>
          <w:rFonts w:cstheme="minorHAnsi"/>
          <w:szCs w:val="20"/>
          <w:lang w:bidi="en-US"/>
        </w:rPr>
        <w:t>Reformatted the policy so that it is accessible to all members of the public.</w:t>
      </w:r>
    </w:p>
    <w:p w14:paraId="2E20CAB4" w14:textId="77777777" w:rsidR="0002662C" w:rsidRDefault="0002662C" w:rsidP="0002662C">
      <w:pPr>
        <w:pStyle w:val="ListParagraph"/>
        <w:numPr>
          <w:ilvl w:val="0"/>
          <w:numId w:val="4"/>
        </w:numPr>
        <w:spacing w:line="240" w:lineRule="auto"/>
        <w:rPr>
          <w:rFonts w:cstheme="minorHAnsi"/>
          <w:szCs w:val="20"/>
          <w:lang w:bidi="en-US"/>
        </w:rPr>
      </w:pPr>
      <w:r>
        <w:rPr>
          <w:rFonts w:cstheme="minorHAnsi"/>
          <w:szCs w:val="20"/>
          <w:lang w:bidi="en-US"/>
        </w:rPr>
        <w:t>Created annotated policy revision chart.</w:t>
      </w:r>
    </w:p>
    <w:p w14:paraId="3B0D318F" w14:textId="77777777" w:rsidR="0002662C" w:rsidRDefault="0002662C" w:rsidP="0002662C">
      <w:pPr>
        <w:pStyle w:val="ListParagraph"/>
        <w:numPr>
          <w:ilvl w:val="0"/>
          <w:numId w:val="4"/>
        </w:numPr>
        <w:spacing w:line="240" w:lineRule="auto"/>
        <w:rPr>
          <w:rFonts w:cstheme="minorHAnsi"/>
          <w:szCs w:val="20"/>
          <w:lang w:bidi="en-US"/>
        </w:rPr>
      </w:pPr>
      <w:r>
        <w:rPr>
          <w:rFonts w:cstheme="minorHAnsi"/>
          <w:szCs w:val="20"/>
          <w:lang w:bidi="en-US"/>
        </w:rPr>
        <w:t>Updated exemptions. See Sole Source Exemption Edits Chart.</w:t>
      </w:r>
    </w:p>
    <w:p w14:paraId="04331072" w14:textId="77777777" w:rsidR="0002662C" w:rsidRDefault="0002662C" w:rsidP="0002662C">
      <w:pPr>
        <w:pStyle w:val="ListParagraph"/>
        <w:numPr>
          <w:ilvl w:val="0"/>
          <w:numId w:val="4"/>
        </w:numPr>
        <w:spacing w:line="240" w:lineRule="auto"/>
        <w:rPr>
          <w:rFonts w:cstheme="minorHAnsi"/>
          <w:szCs w:val="20"/>
          <w:lang w:bidi="en-US"/>
        </w:rPr>
      </w:pPr>
      <w:r>
        <w:rPr>
          <w:rFonts w:cstheme="minorHAnsi"/>
          <w:szCs w:val="20"/>
          <w:lang w:bidi="en-US"/>
        </w:rPr>
        <w:t>Revised the FAQ page.</w:t>
      </w:r>
    </w:p>
    <w:p w14:paraId="360AA28E" w14:textId="77777777" w:rsidR="0002662C" w:rsidRDefault="0002662C" w:rsidP="0002662C">
      <w:pPr>
        <w:pStyle w:val="ListParagraph"/>
        <w:numPr>
          <w:ilvl w:val="0"/>
          <w:numId w:val="4"/>
        </w:numPr>
        <w:spacing w:line="240" w:lineRule="auto"/>
        <w:rPr>
          <w:rFonts w:cstheme="minorHAnsi"/>
          <w:szCs w:val="20"/>
          <w:lang w:bidi="en-US"/>
        </w:rPr>
      </w:pPr>
      <w:r>
        <w:rPr>
          <w:rFonts w:cstheme="minorHAnsi"/>
          <w:szCs w:val="20"/>
          <w:lang w:bidi="en-US"/>
        </w:rPr>
        <w:t>Created sole source procedure.</w:t>
      </w:r>
    </w:p>
    <w:p w14:paraId="510B03D1" w14:textId="77777777" w:rsidR="0002662C" w:rsidRPr="0002662C" w:rsidRDefault="0002662C" w:rsidP="0002662C">
      <w:pPr>
        <w:pStyle w:val="ListParagraph"/>
        <w:numPr>
          <w:ilvl w:val="0"/>
          <w:numId w:val="4"/>
        </w:numPr>
        <w:spacing w:line="240" w:lineRule="auto"/>
        <w:rPr>
          <w:rFonts w:cstheme="minorHAnsi"/>
          <w:szCs w:val="20"/>
          <w:lang w:bidi="en-US"/>
        </w:rPr>
      </w:pPr>
      <w:r>
        <w:rPr>
          <w:rFonts w:cstheme="minorHAnsi"/>
          <w:szCs w:val="20"/>
          <w:lang w:bidi="en-US"/>
        </w:rPr>
        <w:t>Supplemented general glossary of procurement terms.</w:t>
      </w:r>
    </w:p>
    <w:p w14:paraId="2E9E47C9" w14:textId="45E794F9" w:rsidR="00095EF9" w:rsidRPr="00D0246A" w:rsidRDefault="00095EF9" w:rsidP="003B4E6D">
      <w:pPr>
        <w:pStyle w:val="NoSpacing"/>
        <w:pBdr>
          <w:top w:val="single" w:sz="4" w:space="1" w:color="auto"/>
        </w:pBdr>
      </w:pPr>
    </w:p>
    <w:sectPr w:rsidR="00095EF9" w:rsidRPr="00D0246A" w:rsidSect="00CE6479">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9CB1" w14:textId="77777777" w:rsidR="009438F6" w:rsidRDefault="009438F6" w:rsidP="005A2388">
      <w:pPr>
        <w:spacing w:after="0" w:line="240" w:lineRule="auto"/>
      </w:pPr>
      <w:r>
        <w:separator/>
      </w:r>
    </w:p>
  </w:endnote>
  <w:endnote w:type="continuationSeparator" w:id="0">
    <w:p w14:paraId="050308DE" w14:textId="77777777" w:rsidR="009438F6" w:rsidRDefault="009438F6"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7181" w14:textId="77777777" w:rsidR="009C77DA" w:rsidRDefault="009C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BAC9" w14:textId="77777777" w:rsidR="009C77DA" w:rsidRDefault="009C7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9BA5" w14:textId="77777777" w:rsidR="009C77DA" w:rsidRDefault="009C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80F8" w14:textId="77777777" w:rsidR="009438F6" w:rsidRDefault="009438F6" w:rsidP="005A2388">
      <w:pPr>
        <w:spacing w:after="0" w:line="240" w:lineRule="auto"/>
      </w:pPr>
      <w:r>
        <w:separator/>
      </w:r>
    </w:p>
  </w:footnote>
  <w:footnote w:type="continuationSeparator" w:id="0">
    <w:p w14:paraId="5F914E65" w14:textId="77777777" w:rsidR="009438F6" w:rsidRDefault="009438F6"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9D4D" w14:textId="77777777" w:rsidR="009C77DA" w:rsidRDefault="009C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7922"/>
      <w:docPartObj>
        <w:docPartGallery w:val="Watermarks"/>
        <w:docPartUnique/>
      </w:docPartObj>
    </w:sdtPr>
    <w:sdtEndPr/>
    <w:sdtContent>
      <w:p w14:paraId="644369EA" w14:textId="71E84CBF" w:rsidR="009C77DA" w:rsidRDefault="005820AD">
        <w:pPr>
          <w:pStyle w:val="Header"/>
        </w:pPr>
        <w:r>
          <w:rPr>
            <w:noProof/>
          </w:rPr>
          <w:pict w14:anchorId="2B49F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FB2B" w14:textId="77777777" w:rsidR="009C77DA" w:rsidRDefault="009C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70E4483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C4E4B"/>
    <w:multiLevelType w:val="hybridMultilevel"/>
    <w:tmpl w:val="AE80F8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6A550C"/>
    <w:multiLevelType w:val="hybridMultilevel"/>
    <w:tmpl w:val="695440F4"/>
    <w:lvl w:ilvl="0" w:tplc="5A642774">
      <w:start w:val="1"/>
      <w:numFmt w:val="decimal"/>
      <w:lvlText w:val="%1)"/>
      <w:lvlJc w:val="left"/>
      <w:pPr>
        <w:ind w:left="803" w:hanging="545"/>
      </w:pPr>
      <w:rPr>
        <w:rFonts w:ascii="Calibri" w:eastAsia="Times New Roman" w:hAnsi="Calibri" w:hint="default"/>
        <w:sz w:val="22"/>
        <w:szCs w:val="24"/>
      </w:rPr>
    </w:lvl>
    <w:lvl w:ilvl="1" w:tplc="B00A0398">
      <w:start w:val="1"/>
      <w:numFmt w:val="bullet"/>
      <w:lvlText w:val="•"/>
      <w:lvlJc w:val="left"/>
      <w:pPr>
        <w:ind w:left="1479" w:hanging="545"/>
      </w:pPr>
      <w:rPr>
        <w:rFonts w:hint="default"/>
      </w:rPr>
    </w:lvl>
    <w:lvl w:ilvl="2" w:tplc="51326ECC">
      <w:start w:val="1"/>
      <w:numFmt w:val="bullet"/>
      <w:lvlText w:val="•"/>
      <w:lvlJc w:val="left"/>
      <w:pPr>
        <w:ind w:left="2155" w:hanging="545"/>
      </w:pPr>
      <w:rPr>
        <w:rFonts w:hint="default"/>
      </w:rPr>
    </w:lvl>
    <w:lvl w:ilvl="3" w:tplc="0444258C">
      <w:start w:val="1"/>
      <w:numFmt w:val="bullet"/>
      <w:lvlText w:val="•"/>
      <w:lvlJc w:val="left"/>
      <w:pPr>
        <w:ind w:left="2831" w:hanging="545"/>
      </w:pPr>
      <w:rPr>
        <w:rFonts w:hint="default"/>
      </w:rPr>
    </w:lvl>
    <w:lvl w:ilvl="4" w:tplc="B978B264">
      <w:start w:val="1"/>
      <w:numFmt w:val="bullet"/>
      <w:lvlText w:val="•"/>
      <w:lvlJc w:val="left"/>
      <w:pPr>
        <w:ind w:left="3507" w:hanging="545"/>
      </w:pPr>
      <w:rPr>
        <w:rFonts w:hint="default"/>
      </w:rPr>
    </w:lvl>
    <w:lvl w:ilvl="5" w:tplc="578E42D6">
      <w:start w:val="1"/>
      <w:numFmt w:val="bullet"/>
      <w:lvlText w:val="•"/>
      <w:lvlJc w:val="left"/>
      <w:pPr>
        <w:ind w:left="4184" w:hanging="545"/>
      </w:pPr>
      <w:rPr>
        <w:rFonts w:hint="default"/>
      </w:rPr>
    </w:lvl>
    <w:lvl w:ilvl="6" w:tplc="8CE8141A">
      <w:start w:val="1"/>
      <w:numFmt w:val="bullet"/>
      <w:lvlText w:val="•"/>
      <w:lvlJc w:val="left"/>
      <w:pPr>
        <w:ind w:left="4860" w:hanging="545"/>
      </w:pPr>
      <w:rPr>
        <w:rFonts w:hint="default"/>
      </w:rPr>
    </w:lvl>
    <w:lvl w:ilvl="7" w:tplc="8E7459F0">
      <w:start w:val="1"/>
      <w:numFmt w:val="bullet"/>
      <w:lvlText w:val="•"/>
      <w:lvlJc w:val="left"/>
      <w:pPr>
        <w:ind w:left="5536" w:hanging="545"/>
      </w:pPr>
      <w:rPr>
        <w:rFonts w:hint="default"/>
      </w:rPr>
    </w:lvl>
    <w:lvl w:ilvl="8" w:tplc="E27C3828">
      <w:start w:val="1"/>
      <w:numFmt w:val="bullet"/>
      <w:lvlText w:val="•"/>
      <w:lvlJc w:val="left"/>
      <w:pPr>
        <w:ind w:left="6212" w:hanging="545"/>
      </w:pPr>
      <w:rPr>
        <w:rFonts w:hint="default"/>
      </w:rPr>
    </w:lvl>
  </w:abstractNum>
  <w:abstractNum w:abstractNumId="4"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073F8"/>
    <w:rsid w:val="0002662C"/>
    <w:rsid w:val="00067344"/>
    <w:rsid w:val="00080714"/>
    <w:rsid w:val="00090844"/>
    <w:rsid w:val="00095EF9"/>
    <w:rsid w:val="000A00BA"/>
    <w:rsid w:val="000A7D2D"/>
    <w:rsid w:val="000E1F27"/>
    <w:rsid w:val="00157A23"/>
    <w:rsid w:val="001713C7"/>
    <w:rsid w:val="001B741C"/>
    <w:rsid w:val="00234B57"/>
    <w:rsid w:val="00241EDE"/>
    <w:rsid w:val="00266502"/>
    <w:rsid w:val="002B0F44"/>
    <w:rsid w:val="002E618A"/>
    <w:rsid w:val="002F3837"/>
    <w:rsid w:val="002F6D59"/>
    <w:rsid w:val="003141E0"/>
    <w:rsid w:val="0032493C"/>
    <w:rsid w:val="003326B8"/>
    <w:rsid w:val="00340303"/>
    <w:rsid w:val="00387DBC"/>
    <w:rsid w:val="003B4E6D"/>
    <w:rsid w:val="00440109"/>
    <w:rsid w:val="004E667E"/>
    <w:rsid w:val="005644BF"/>
    <w:rsid w:val="005820AD"/>
    <w:rsid w:val="005A2388"/>
    <w:rsid w:val="005C12CE"/>
    <w:rsid w:val="005E616F"/>
    <w:rsid w:val="00625432"/>
    <w:rsid w:val="00646BEC"/>
    <w:rsid w:val="00661FEA"/>
    <w:rsid w:val="006620E7"/>
    <w:rsid w:val="00715DAB"/>
    <w:rsid w:val="0075761B"/>
    <w:rsid w:val="007710A9"/>
    <w:rsid w:val="00786EFD"/>
    <w:rsid w:val="00844769"/>
    <w:rsid w:val="00877E2E"/>
    <w:rsid w:val="008A59FC"/>
    <w:rsid w:val="00924961"/>
    <w:rsid w:val="00932C56"/>
    <w:rsid w:val="009438F6"/>
    <w:rsid w:val="009A4772"/>
    <w:rsid w:val="009C77DA"/>
    <w:rsid w:val="00A341D4"/>
    <w:rsid w:val="00A37DA8"/>
    <w:rsid w:val="00A76FE6"/>
    <w:rsid w:val="00A824FE"/>
    <w:rsid w:val="00B02B67"/>
    <w:rsid w:val="00B0711F"/>
    <w:rsid w:val="00B14CD0"/>
    <w:rsid w:val="00B17253"/>
    <w:rsid w:val="00B40A4F"/>
    <w:rsid w:val="00B44A68"/>
    <w:rsid w:val="00B7420D"/>
    <w:rsid w:val="00B75D30"/>
    <w:rsid w:val="00BB7877"/>
    <w:rsid w:val="00BD273D"/>
    <w:rsid w:val="00BF0E69"/>
    <w:rsid w:val="00C20E30"/>
    <w:rsid w:val="00C264CA"/>
    <w:rsid w:val="00C50324"/>
    <w:rsid w:val="00C666A6"/>
    <w:rsid w:val="00CE2C57"/>
    <w:rsid w:val="00CE6479"/>
    <w:rsid w:val="00D0246A"/>
    <w:rsid w:val="00D20400"/>
    <w:rsid w:val="00D84A30"/>
    <w:rsid w:val="00DD5FA4"/>
    <w:rsid w:val="00E34057"/>
    <w:rsid w:val="00E378E3"/>
    <w:rsid w:val="00E51986"/>
    <w:rsid w:val="00E53BB2"/>
    <w:rsid w:val="00E54934"/>
    <w:rsid w:val="00E61090"/>
    <w:rsid w:val="00E908CE"/>
    <w:rsid w:val="00ED3880"/>
    <w:rsid w:val="00F01EB6"/>
    <w:rsid w:val="00F23A3F"/>
    <w:rsid w:val="00F25A83"/>
    <w:rsid w:val="00F350FD"/>
    <w:rsid w:val="00F35E2E"/>
    <w:rsid w:val="00F562C8"/>
    <w:rsid w:val="00F8472D"/>
    <w:rsid w:val="00F8711B"/>
    <w:rsid w:val="00F935E8"/>
    <w:rsid w:val="00FE6354"/>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AF154"/>
  <w15:chartTrackingRefBased/>
  <w15:docId w15:val="{C663BFA5-5B73-4C94-9F7E-36035326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B0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E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B0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F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0F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0E69"/>
    <w:rPr>
      <w:rFonts w:asciiTheme="majorHAnsi" w:eastAsiaTheme="majorEastAsia" w:hAnsiTheme="majorHAnsi" w:cstheme="majorBidi"/>
      <w:color w:val="2E74B5" w:themeColor="accent1"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1"/>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4E667E"/>
    <w:rPr>
      <w:rFonts w:ascii="Arial" w:hAnsi="Arial" w:cs="Arial"/>
      <w:sz w:val="20"/>
      <w:szCs w:val="20"/>
      <w:lang w:bidi="en-US"/>
    </w:rPr>
  </w:style>
  <w:style w:type="paragraph" w:customStyle="1" w:styleId="TableParagraph">
    <w:name w:val="Table Paragraph"/>
    <w:basedOn w:val="Normal"/>
    <w:uiPriority w:val="1"/>
    <w:qFormat/>
    <w:rsid w:val="004E667E"/>
    <w:pPr>
      <w:widowControl w:val="0"/>
      <w:spacing w:after="0" w:line="240" w:lineRule="auto"/>
    </w:pPr>
  </w:style>
  <w:style w:type="character" w:styleId="CommentReference">
    <w:name w:val="annotation reference"/>
    <w:basedOn w:val="DefaultParagraphFont"/>
    <w:uiPriority w:val="99"/>
    <w:semiHidden/>
    <w:unhideWhenUsed/>
    <w:rsid w:val="00C20E30"/>
    <w:rPr>
      <w:sz w:val="16"/>
      <w:szCs w:val="16"/>
    </w:rPr>
  </w:style>
  <w:style w:type="paragraph" w:styleId="CommentText">
    <w:name w:val="annotation text"/>
    <w:basedOn w:val="Normal"/>
    <w:link w:val="CommentTextChar"/>
    <w:uiPriority w:val="99"/>
    <w:semiHidden/>
    <w:unhideWhenUsed/>
    <w:rsid w:val="00C20E30"/>
    <w:pPr>
      <w:spacing w:line="240" w:lineRule="auto"/>
    </w:pPr>
    <w:rPr>
      <w:sz w:val="20"/>
      <w:szCs w:val="20"/>
    </w:rPr>
  </w:style>
  <w:style w:type="character" w:customStyle="1" w:styleId="CommentTextChar">
    <w:name w:val="Comment Text Char"/>
    <w:basedOn w:val="DefaultParagraphFont"/>
    <w:link w:val="CommentText"/>
    <w:uiPriority w:val="99"/>
    <w:semiHidden/>
    <w:rsid w:val="00C20E30"/>
    <w:rPr>
      <w:sz w:val="20"/>
      <w:szCs w:val="20"/>
    </w:rPr>
  </w:style>
  <w:style w:type="paragraph" w:styleId="CommentSubject">
    <w:name w:val="annotation subject"/>
    <w:basedOn w:val="CommentText"/>
    <w:next w:val="CommentText"/>
    <w:link w:val="CommentSubjectChar"/>
    <w:uiPriority w:val="99"/>
    <w:semiHidden/>
    <w:unhideWhenUsed/>
    <w:rsid w:val="00C20E30"/>
    <w:rPr>
      <w:b/>
      <w:bCs/>
    </w:rPr>
  </w:style>
  <w:style w:type="character" w:customStyle="1" w:styleId="CommentSubjectChar">
    <w:name w:val="Comment Subject Char"/>
    <w:basedOn w:val="CommentTextChar"/>
    <w:link w:val="CommentSubject"/>
    <w:uiPriority w:val="99"/>
    <w:semiHidden/>
    <w:rsid w:val="00C20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28B.10.029" TargetMode="External"/><Relationship Id="rId18" Type="http://schemas.openxmlformats.org/officeDocument/2006/relationships/hyperlink" Target="https://ocio.wa.gov/policy/it-investments-approval-and-oversight-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pps.leg.wa.gov/RCW/default.aspx?cite=28B.10.016" TargetMode="External"/><Relationship Id="rId17" Type="http://schemas.openxmlformats.org/officeDocument/2006/relationships/hyperlink" Target="http://apps.leg.wa.gov/rcw/default.aspx?cite=19.06.0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rcw/default.aspx?cite=39.26.25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apps.leg.wa.gov/rcw/default.aspx?cite=39.26.23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39.26.1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353F-D45F-4816-9F9F-7DA7F0E3FC9A}">
  <ds:schemaRefs>
    <ds:schemaRef ds:uri="4f5804d5-49c0-4153-b9d4-3ac3acf566d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4.xml><?xml version="1.0" encoding="utf-8"?>
<ds:datastoreItem xmlns:ds="http://schemas.openxmlformats.org/officeDocument/2006/customXml" ds:itemID="{F892A921-00F0-4E81-A92D-BB6E4C2D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Greenwood, Deborah (DES)</dc:creator>
  <cp:keywords/>
  <dc:description/>
  <cp:lastModifiedBy>Warnock, Christine (DES)</cp:lastModifiedBy>
  <cp:revision>10</cp:revision>
  <cp:lastPrinted>2019-01-28T18:59:00Z</cp:lastPrinted>
  <dcterms:created xsi:type="dcterms:W3CDTF">2019-02-08T15:53:00Z</dcterms:created>
  <dcterms:modified xsi:type="dcterms:W3CDTF">2019-02-08T18:10:00Z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