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9" w:rsidRPr="006B712B" w:rsidRDefault="00500499" w:rsidP="00500499"/>
    <w:p w:rsidR="005A01C5" w:rsidRDefault="005A01C5" w:rsidP="005A01C5">
      <w:pPr>
        <w:pStyle w:val="Heading1"/>
      </w:pPr>
      <w:r>
        <w:t xml:space="preserve">WA State Contract Management 101 (total </w:t>
      </w:r>
      <w:r w:rsidR="00372547">
        <w:t>2 hours 45 minutes</w:t>
      </w:r>
      <w:r>
        <w:t>)</w:t>
      </w:r>
    </w:p>
    <w:p w:rsidR="005A01C5" w:rsidRPr="005A01C5" w:rsidRDefault="00914FB4" w:rsidP="005A01C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="005A01C5" w:rsidRPr="005A01C5">
        <w:rPr>
          <w:rFonts w:asciiTheme="majorHAnsi" w:hAnsiTheme="majorHAnsi" w:cstheme="majorHAnsi"/>
        </w:rPr>
        <w:t xml:space="preserve">equired training for all employees who manage, monitor, or </w:t>
      </w:r>
      <w:r w:rsidR="00480E49" w:rsidRPr="005A01C5">
        <w:rPr>
          <w:rFonts w:asciiTheme="majorHAnsi" w:hAnsiTheme="majorHAnsi" w:cstheme="majorHAnsi"/>
        </w:rPr>
        <w:t>serve,</w:t>
      </w:r>
      <w:r w:rsidR="005A01C5" w:rsidRPr="005A01C5">
        <w:rPr>
          <w:rFonts w:asciiTheme="majorHAnsi" w:hAnsiTheme="majorHAnsi" w:cstheme="majorHAnsi"/>
        </w:rPr>
        <w:t xml:space="preserve"> as subject matter experts on contracts will teach the approach to manage contractors, ensure compliance to the statement of work</w:t>
      </w:r>
      <w:r w:rsidR="007F5C49">
        <w:rPr>
          <w:rFonts w:asciiTheme="majorHAnsi" w:hAnsiTheme="majorHAnsi" w:cstheme="majorHAnsi"/>
        </w:rPr>
        <w:t>, and</w:t>
      </w:r>
      <w:r w:rsidR="005A01C5" w:rsidRPr="005A01C5">
        <w:rPr>
          <w:rFonts w:asciiTheme="majorHAnsi" w:hAnsiTheme="majorHAnsi" w:cstheme="majorHAnsi"/>
        </w:rPr>
        <w:t xml:space="preserve"> ensure contractor performance.</w:t>
      </w:r>
      <w:r w:rsidR="00CD3130">
        <w:rPr>
          <w:rFonts w:asciiTheme="majorHAnsi" w:hAnsiTheme="majorHAnsi" w:cstheme="majorHAnsi"/>
        </w:rPr>
        <w:t xml:space="preserve"> </w:t>
      </w:r>
      <w:r w:rsidR="00AB5ADD">
        <w:rPr>
          <w:rFonts w:asciiTheme="majorHAnsi" w:hAnsiTheme="majorHAnsi" w:cstheme="majorHAnsi"/>
        </w:rPr>
        <w:t>This c</w:t>
      </w:r>
      <w:r w:rsidR="00CD3130">
        <w:rPr>
          <w:rFonts w:asciiTheme="majorHAnsi" w:hAnsiTheme="majorHAnsi" w:cstheme="majorHAnsi"/>
        </w:rPr>
        <w:t xml:space="preserve">ourse is provided in </w:t>
      </w:r>
      <w:r w:rsidR="00372547">
        <w:rPr>
          <w:rFonts w:asciiTheme="majorHAnsi" w:hAnsiTheme="majorHAnsi" w:cstheme="majorHAnsi"/>
        </w:rPr>
        <w:t>four</w:t>
      </w:r>
      <w:r w:rsidR="00CD3130">
        <w:rPr>
          <w:rFonts w:asciiTheme="majorHAnsi" w:hAnsiTheme="majorHAnsi" w:cstheme="majorHAnsi"/>
        </w:rPr>
        <w:t xml:space="preserve"> modules.</w:t>
      </w:r>
    </w:p>
    <w:p w:rsidR="005A01C5" w:rsidRDefault="005A01C5" w:rsidP="00500499">
      <w:pPr>
        <w:pStyle w:val="Heading2"/>
      </w:pPr>
    </w:p>
    <w:p w:rsidR="005A01C5" w:rsidRPr="00480E49" w:rsidRDefault="005A01C5" w:rsidP="00500499">
      <w:pPr>
        <w:pStyle w:val="Heading2"/>
        <w:rPr>
          <w:b w:val="0"/>
          <w:sz w:val="22"/>
          <w:szCs w:val="22"/>
        </w:rPr>
      </w:pPr>
      <w:r>
        <w:t xml:space="preserve">Performance Objectives </w:t>
      </w:r>
      <w:r w:rsidRPr="00480E49">
        <w:rPr>
          <w:b w:val="0"/>
          <w:sz w:val="22"/>
          <w:szCs w:val="22"/>
        </w:rPr>
        <w:t xml:space="preserve">upon completion of this course </w:t>
      </w:r>
      <w:r w:rsidR="00480E49">
        <w:rPr>
          <w:b w:val="0"/>
          <w:sz w:val="22"/>
          <w:szCs w:val="22"/>
        </w:rPr>
        <w:t>participants will</w:t>
      </w:r>
      <w:r w:rsidRPr="00480E49">
        <w:rPr>
          <w:b w:val="0"/>
          <w:sz w:val="22"/>
          <w:szCs w:val="22"/>
        </w:rPr>
        <w:t xml:space="preserve"> be able to:</w:t>
      </w:r>
      <w:r w:rsidR="00500499" w:rsidRPr="00480E49">
        <w:rPr>
          <w:b w:val="0"/>
          <w:sz w:val="22"/>
          <w:szCs w:val="22"/>
        </w:rPr>
        <w:t xml:space="preserve"> 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Apply contract management processes and agency best practices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Define</w:t>
      </w:r>
      <w:r w:rsidR="007F5C49">
        <w:t xml:space="preserve"> the </w:t>
      </w:r>
      <w:r>
        <w:t>roles and responsibilities of contracting professional</w:t>
      </w:r>
      <w:r w:rsidR="007F5C49">
        <w:t>s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Demonstrate an understanding of how the procurement and planning process relates to contract management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Demonstrate the importance of contract execution and monitoring in effective contract management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Demonstrate the important of pre-award planning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Demonstrate familiarity with Washington agency and industry best practices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Describe contract execution and why it matters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Explain the three phases of contract management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Practice the basics of contract management and monitoring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Determine how to extend and modify a cont</w:t>
      </w:r>
      <w:r w:rsidR="000A0FF4">
        <w:t>r</w:t>
      </w:r>
      <w:r>
        <w:t>act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Recognize the different types of contracts and payment/pricing models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Recognize and apply post-award activities</w:t>
      </w:r>
    </w:p>
    <w:p w:rsidR="00480E49" w:rsidRDefault="00480E49" w:rsidP="00480E49">
      <w:pPr>
        <w:pStyle w:val="ListParagraph"/>
        <w:numPr>
          <w:ilvl w:val="0"/>
          <w:numId w:val="9"/>
        </w:numPr>
      </w:pPr>
      <w:r>
        <w:t>Recognize the cont</w:t>
      </w:r>
      <w:r w:rsidR="000A0FF4">
        <w:t>r</w:t>
      </w:r>
      <w:r>
        <w:t>act management cycle</w:t>
      </w:r>
    </w:p>
    <w:p w:rsidR="00480E49" w:rsidRPr="00480E49" w:rsidRDefault="00480E49" w:rsidP="00480E49">
      <w:pPr>
        <w:pStyle w:val="ListParagraph"/>
        <w:numPr>
          <w:ilvl w:val="0"/>
          <w:numId w:val="9"/>
        </w:numPr>
      </w:pPr>
      <w:r>
        <w:t>Recognize contract issues and practice how to address them</w:t>
      </w:r>
    </w:p>
    <w:p w:rsidR="00914FB4" w:rsidRDefault="00914FB4" w:rsidP="00914FB4"/>
    <w:p w:rsidR="00914FB4" w:rsidRPr="00914FB4" w:rsidRDefault="00914FB4" w:rsidP="00914FB4">
      <w:r w:rsidRPr="00914FB4">
        <w:rPr>
          <w:b/>
        </w:rPr>
        <w:t>Competencies covered in this course:</w:t>
      </w:r>
      <w:r>
        <w:rPr>
          <w:b/>
        </w:rPr>
        <w:t xml:space="preserve"> </w:t>
      </w:r>
      <w:r w:rsidR="007F5C49">
        <w:rPr>
          <w:b/>
        </w:rPr>
        <w:t>C</w:t>
      </w:r>
      <w:r w:rsidRPr="00914FB4">
        <w:t>ontract management, communications, development and continual learning</w:t>
      </w:r>
    </w:p>
    <w:p w:rsidR="005A01C5" w:rsidRDefault="005A01C5" w:rsidP="00500499">
      <w:pPr>
        <w:spacing w:line="300" w:lineRule="exact"/>
      </w:pPr>
    </w:p>
    <w:p w:rsidR="00C73604" w:rsidRPr="00B6485A" w:rsidRDefault="00C73604" w:rsidP="00C73604">
      <w:pPr>
        <w:spacing w:before="100" w:beforeAutospacing="1" w:after="120"/>
        <w:rPr>
          <w:rFonts w:cs="Arial"/>
        </w:rPr>
      </w:pPr>
      <w:r w:rsidRPr="00B6485A">
        <w:rPr>
          <w:b/>
        </w:rPr>
        <w:t xml:space="preserve">Intended audience. </w:t>
      </w:r>
      <w:r w:rsidRPr="00B6485A">
        <w:rPr>
          <w:rFonts w:cs="Arial"/>
        </w:rPr>
        <w:t>Department of Enterprise Services and the Training Advisory Group (TAG) developed a list of common job duties</w:t>
      </w:r>
      <w:r w:rsidR="00B6485A" w:rsidRPr="00B6485A">
        <w:rPr>
          <w:rFonts w:asciiTheme="majorHAnsi" w:hAnsiTheme="majorHAnsi" w:cstheme="majorHAnsi"/>
        </w:rPr>
        <w:t xml:space="preserve"> </w:t>
      </w:r>
      <w:r w:rsidR="00B6485A" w:rsidRPr="00B6485A">
        <w:rPr>
          <w:rFonts w:asciiTheme="majorHAnsi" w:hAnsiTheme="majorHAnsi" w:cstheme="majorHAnsi"/>
        </w:rPr>
        <w:t xml:space="preserve">under each training category to help employees determine which course(s) they need to take. </w:t>
      </w:r>
      <w:r w:rsidRPr="00B6485A">
        <w:rPr>
          <w:rFonts w:cs="Arial"/>
        </w:rPr>
        <w:t xml:space="preserve">For the detailed </w:t>
      </w:r>
      <w:r w:rsidR="00FE3D8D" w:rsidRPr="00B6485A">
        <w:rPr>
          <w:rFonts w:cs="Arial"/>
        </w:rPr>
        <w:t>list,</w:t>
      </w:r>
      <w:r w:rsidRPr="00B6485A">
        <w:rPr>
          <w:rFonts w:cs="Arial"/>
        </w:rPr>
        <w:t xml:space="preserve"> refer to Training by Job Duty Tool under Related Information on the </w:t>
      </w:r>
      <w:hyperlink r:id="rId12" w:tooltip="Use this link to go to the Contract Training website." w:history="1">
        <w:r w:rsidRPr="00B6485A">
          <w:rPr>
            <w:rStyle w:val="Hyperlink"/>
            <w:rFonts w:cs="Arial"/>
          </w:rPr>
          <w:t>Contract Training</w:t>
        </w:r>
      </w:hyperlink>
      <w:r w:rsidRPr="00B6485A">
        <w:rPr>
          <w:rFonts w:cs="Arial"/>
        </w:rPr>
        <w:t xml:space="preserve"> website.</w:t>
      </w:r>
    </w:p>
    <w:p w:rsidR="00372547" w:rsidRDefault="0037254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F5C49" w:rsidRDefault="007F5C49" w:rsidP="007F5C49">
      <w:pPr>
        <w:rPr>
          <w:b/>
          <w:sz w:val="20"/>
          <w:szCs w:val="20"/>
        </w:rPr>
      </w:pPr>
    </w:p>
    <w:p w:rsidR="005215A9" w:rsidRDefault="005215A9" w:rsidP="00E34920">
      <w:pPr>
        <w:rPr>
          <w:b/>
        </w:rPr>
      </w:pPr>
    </w:p>
    <w:p w:rsidR="00914FB4" w:rsidRDefault="00CD3130" w:rsidP="00E34920">
      <w:pPr>
        <w:rPr>
          <w:b/>
        </w:rPr>
      </w:pPr>
      <w:r>
        <w:rPr>
          <w:b/>
        </w:rPr>
        <w:t>Brief Description b</w:t>
      </w:r>
      <w:r w:rsidR="005215A9">
        <w:rPr>
          <w:b/>
        </w:rPr>
        <w:t>y Module</w:t>
      </w:r>
    </w:p>
    <w:p w:rsidR="00A8307D" w:rsidRDefault="00A8307D" w:rsidP="00E34920">
      <w:pPr>
        <w:rPr>
          <w:b/>
        </w:rPr>
      </w:pPr>
    </w:p>
    <w:tbl>
      <w:tblPr>
        <w:tblStyle w:val="TableGrid"/>
        <w:tblW w:w="10143" w:type="dxa"/>
        <w:tblInd w:w="198" w:type="dxa"/>
        <w:tblLook w:val="04A0" w:firstRow="1" w:lastRow="0" w:firstColumn="1" w:lastColumn="0" w:noHBand="0" w:noVBand="1"/>
      </w:tblPr>
      <w:tblGrid>
        <w:gridCol w:w="2475"/>
        <w:gridCol w:w="2698"/>
        <w:gridCol w:w="2698"/>
        <w:gridCol w:w="2272"/>
      </w:tblGrid>
      <w:tr w:rsidR="005215A9" w:rsidRPr="005215A9" w:rsidTr="00C73604">
        <w:trPr>
          <w:trHeight w:val="1175"/>
          <w:tblHeader/>
        </w:trPr>
        <w:tc>
          <w:tcPr>
            <w:tcW w:w="2475" w:type="dxa"/>
          </w:tcPr>
          <w:p w:rsidR="005215A9" w:rsidRDefault="005215A9" w:rsidP="00E3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1 (</w:t>
            </w:r>
            <w:r w:rsidR="0037254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hour)</w:t>
            </w:r>
          </w:p>
          <w:p w:rsidR="005215A9" w:rsidRDefault="005215A9" w:rsidP="00E34920">
            <w:pPr>
              <w:rPr>
                <w:b/>
                <w:sz w:val="20"/>
                <w:szCs w:val="20"/>
              </w:rPr>
            </w:pPr>
          </w:p>
          <w:p w:rsidR="005215A9" w:rsidRPr="005215A9" w:rsidRDefault="005215A9" w:rsidP="00E34920">
            <w:pPr>
              <w:rPr>
                <w:b/>
                <w:sz w:val="20"/>
                <w:szCs w:val="20"/>
              </w:rPr>
            </w:pPr>
            <w:r w:rsidRPr="005215A9">
              <w:rPr>
                <w:b/>
                <w:sz w:val="20"/>
                <w:szCs w:val="20"/>
              </w:rPr>
              <w:t>Contract Management Overview</w:t>
            </w:r>
          </w:p>
        </w:tc>
        <w:tc>
          <w:tcPr>
            <w:tcW w:w="2698" w:type="dxa"/>
          </w:tcPr>
          <w:p w:rsidR="005215A9" w:rsidRDefault="005215A9" w:rsidP="00E3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2 (</w:t>
            </w:r>
            <w:r w:rsidR="00372547">
              <w:rPr>
                <w:b/>
                <w:sz w:val="20"/>
                <w:szCs w:val="20"/>
              </w:rPr>
              <w:t>36 minutes</w:t>
            </w:r>
            <w:r>
              <w:rPr>
                <w:b/>
                <w:sz w:val="20"/>
                <w:szCs w:val="20"/>
              </w:rPr>
              <w:t>)</w:t>
            </w:r>
          </w:p>
          <w:p w:rsidR="005215A9" w:rsidRDefault="005215A9" w:rsidP="00E34920">
            <w:pPr>
              <w:rPr>
                <w:b/>
                <w:sz w:val="20"/>
                <w:szCs w:val="20"/>
              </w:rPr>
            </w:pPr>
          </w:p>
          <w:p w:rsidR="005215A9" w:rsidRPr="005215A9" w:rsidRDefault="005215A9" w:rsidP="007F5C49">
            <w:pPr>
              <w:rPr>
                <w:b/>
                <w:sz w:val="20"/>
                <w:szCs w:val="20"/>
              </w:rPr>
            </w:pPr>
            <w:r w:rsidRPr="005215A9">
              <w:rPr>
                <w:b/>
                <w:sz w:val="20"/>
                <w:szCs w:val="20"/>
              </w:rPr>
              <w:t xml:space="preserve">Contract Management Phases </w:t>
            </w:r>
            <w:r w:rsidR="007F5C49">
              <w:rPr>
                <w:b/>
                <w:sz w:val="20"/>
                <w:szCs w:val="20"/>
              </w:rPr>
              <w:t>and</w:t>
            </w:r>
            <w:r w:rsidRPr="005215A9">
              <w:rPr>
                <w:b/>
                <w:sz w:val="20"/>
                <w:szCs w:val="20"/>
              </w:rPr>
              <w:t xml:space="preserve"> Functions</w:t>
            </w:r>
          </w:p>
        </w:tc>
        <w:tc>
          <w:tcPr>
            <w:tcW w:w="2698" w:type="dxa"/>
          </w:tcPr>
          <w:p w:rsidR="005215A9" w:rsidRDefault="005215A9" w:rsidP="00E3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3 (</w:t>
            </w:r>
            <w:r w:rsidR="00372547">
              <w:rPr>
                <w:b/>
                <w:sz w:val="20"/>
                <w:szCs w:val="20"/>
              </w:rPr>
              <w:t>34 minutes</w:t>
            </w:r>
            <w:r>
              <w:rPr>
                <w:b/>
                <w:sz w:val="20"/>
                <w:szCs w:val="20"/>
              </w:rPr>
              <w:t>)</w:t>
            </w:r>
          </w:p>
          <w:p w:rsidR="005215A9" w:rsidRDefault="005215A9" w:rsidP="00E34920">
            <w:pPr>
              <w:rPr>
                <w:b/>
                <w:sz w:val="20"/>
                <w:szCs w:val="20"/>
              </w:rPr>
            </w:pPr>
          </w:p>
          <w:p w:rsidR="005215A9" w:rsidRPr="005215A9" w:rsidRDefault="005215A9" w:rsidP="00E34920">
            <w:pPr>
              <w:rPr>
                <w:b/>
                <w:sz w:val="20"/>
                <w:szCs w:val="20"/>
              </w:rPr>
            </w:pPr>
            <w:r w:rsidRPr="005215A9">
              <w:rPr>
                <w:b/>
                <w:sz w:val="20"/>
                <w:szCs w:val="20"/>
              </w:rPr>
              <w:t>Essential Elements of Contract Management</w:t>
            </w:r>
          </w:p>
        </w:tc>
        <w:tc>
          <w:tcPr>
            <w:tcW w:w="2272" w:type="dxa"/>
          </w:tcPr>
          <w:p w:rsidR="005215A9" w:rsidRDefault="005215A9" w:rsidP="00E3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4 (</w:t>
            </w:r>
            <w:r w:rsidR="00372547">
              <w:rPr>
                <w:b/>
                <w:sz w:val="20"/>
                <w:szCs w:val="20"/>
              </w:rPr>
              <w:t>35 minutes</w:t>
            </w:r>
            <w:r>
              <w:rPr>
                <w:b/>
                <w:sz w:val="20"/>
                <w:szCs w:val="20"/>
              </w:rPr>
              <w:t>)</w:t>
            </w:r>
          </w:p>
          <w:p w:rsidR="005215A9" w:rsidRDefault="005215A9" w:rsidP="00E34920">
            <w:pPr>
              <w:rPr>
                <w:b/>
                <w:sz w:val="20"/>
                <w:szCs w:val="20"/>
              </w:rPr>
            </w:pPr>
          </w:p>
          <w:p w:rsidR="005215A9" w:rsidRPr="005215A9" w:rsidRDefault="005215A9" w:rsidP="005215A9">
            <w:pPr>
              <w:rPr>
                <w:b/>
                <w:sz w:val="20"/>
                <w:szCs w:val="20"/>
              </w:rPr>
            </w:pPr>
            <w:r w:rsidRPr="005215A9">
              <w:rPr>
                <w:b/>
                <w:sz w:val="20"/>
                <w:szCs w:val="20"/>
              </w:rPr>
              <w:t xml:space="preserve">Contract Changes, Disputes, Appeals, </w:t>
            </w:r>
          </w:p>
        </w:tc>
      </w:tr>
      <w:tr w:rsidR="005215A9" w:rsidRPr="005215A9" w:rsidTr="00372547">
        <w:trPr>
          <w:trHeight w:val="2859"/>
        </w:trPr>
        <w:tc>
          <w:tcPr>
            <w:tcW w:w="2475" w:type="dxa"/>
          </w:tcPr>
          <w:p w:rsidR="00CD3130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Define Contract management</w:t>
            </w:r>
            <w:r w:rsidR="00CD3130" w:rsidRPr="00372547">
              <w:rPr>
                <w:sz w:val="18"/>
                <w:szCs w:val="20"/>
              </w:rPr>
              <w:t xml:space="preserve"> 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The Basics of a Contract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Purchasing</w:t>
            </w:r>
            <w:r w:rsidR="00CD3130" w:rsidRPr="00372547">
              <w:rPr>
                <w:sz w:val="18"/>
                <w:szCs w:val="20"/>
              </w:rPr>
              <w:t xml:space="preserve"> </w:t>
            </w:r>
            <w:r w:rsidRPr="00372547">
              <w:rPr>
                <w:sz w:val="18"/>
                <w:szCs w:val="20"/>
              </w:rPr>
              <w:t>Approaches, Pricing Models, and Risk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372547">
              <w:rPr>
                <w:sz w:val="18"/>
                <w:szCs w:val="20"/>
              </w:rPr>
              <w:t xml:space="preserve">Contracting Tools To Guide </w:t>
            </w:r>
            <w:r w:rsidRPr="00372547">
              <w:rPr>
                <w:sz w:val="20"/>
                <w:szCs w:val="20"/>
              </w:rPr>
              <w:t>you</w:t>
            </w:r>
          </w:p>
        </w:tc>
        <w:tc>
          <w:tcPr>
            <w:tcW w:w="2698" w:type="dxa"/>
          </w:tcPr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Three Phases of Contract Management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The importance of pre-award planning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Award Activities: Contract execution and why it matters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372547">
              <w:rPr>
                <w:sz w:val="18"/>
                <w:szCs w:val="20"/>
              </w:rPr>
              <w:t>Post-Award activities</w:t>
            </w:r>
          </w:p>
        </w:tc>
        <w:tc>
          <w:tcPr>
            <w:tcW w:w="2698" w:type="dxa"/>
          </w:tcPr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The Contract is signed, now what?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Essential elements of contract monitoring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372547">
              <w:rPr>
                <w:sz w:val="18"/>
                <w:szCs w:val="20"/>
              </w:rPr>
              <w:t>How to implement contract management</w:t>
            </w:r>
          </w:p>
        </w:tc>
        <w:tc>
          <w:tcPr>
            <w:tcW w:w="2272" w:type="dxa"/>
          </w:tcPr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>When things don’t go as planned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20"/>
              </w:rPr>
            </w:pPr>
            <w:r w:rsidRPr="00372547">
              <w:rPr>
                <w:sz w:val="18"/>
                <w:szCs w:val="20"/>
              </w:rPr>
              <w:t xml:space="preserve">When the agency </w:t>
            </w:r>
            <w:r w:rsidR="00CD3130" w:rsidRPr="00372547">
              <w:rPr>
                <w:sz w:val="18"/>
                <w:szCs w:val="20"/>
              </w:rPr>
              <w:t>and</w:t>
            </w:r>
            <w:r w:rsidRPr="00372547">
              <w:rPr>
                <w:sz w:val="18"/>
                <w:szCs w:val="20"/>
              </w:rPr>
              <w:t xml:space="preserve"> contractor disagree</w:t>
            </w:r>
          </w:p>
          <w:p w:rsidR="00CD3130" w:rsidRPr="00372547" w:rsidRDefault="00CD3130" w:rsidP="00372547">
            <w:pPr>
              <w:rPr>
                <w:sz w:val="18"/>
                <w:szCs w:val="20"/>
              </w:rPr>
            </w:pPr>
          </w:p>
          <w:p w:rsidR="005215A9" w:rsidRPr="00372547" w:rsidRDefault="005215A9" w:rsidP="00372547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372547">
              <w:rPr>
                <w:sz w:val="18"/>
                <w:szCs w:val="20"/>
              </w:rPr>
              <w:t>Best practices</w:t>
            </w:r>
            <w:r w:rsidR="007F5C49" w:rsidRPr="00372547">
              <w:rPr>
                <w:sz w:val="18"/>
                <w:szCs w:val="20"/>
              </w:rPr>
              <w:t xml:space="preserve"> and</w:t>
            </w:r>
            <w:r w:rsidRPr="00372547">
              <w:rPr>
                <w:sz w:val="18"/>
                <w:szCs w:val="20"/>
              </w:rPr>
              <w:t xml:space="preserve"> lessons learned</w:t>
            </w:r>
          </w:p>
        </w:tc>
      </w:tr>
    </w:tbl>
    <w:p w:rsidR="005215A9" w:rsidRDefault="005215A9" w:rsidP="00E34920">
      <w:pPr>
        <w:rPr>
          <w:b/>
          <w:sz w:val="20"/>
          <w:szCs w:val="20"/>
        </w:rPr>
      </w:pPr>
    </w:p>
    <w:p w:rsidR="00CD3130" w:rsidRDefault="00CD3130" w:rsidP="00E34920">
      <w:r>
        <w:rPr>
          <w:b/>
        </w:rPr>
        <w:t>Prerequisites</w:t>
      </w:r>
      <w:r w:rsidRPr="00914FB4">
        <w:rPr>
          <w:b/>
        </w:rPr>
        <w:t>:</w:t>
      </w:r>
      <w:r>
        <w:rPr>
          <w:b/>
        </w:rPr>
        <w:t xml:space="preserve"> </w:t>
      </w:r>
      <w:r>
        <w:t>Complete each module in order.</w:t>
      </w:r>
    </w:p>
    <w:p w:rsidR="00AB5ADD" w:rsidRDefault="00AB5ADD" w:rsidP="00E34920"/>
    <w:p w:rsidR="00372547" w:rsidRPr="00372547" w:rsidRDefault="00372547" w:rsidP="00372547">
      <w:pPr>
        <w:pStyle w:val="NoSpacing"/>
        <w:rPr>
          <w:rFonts w:asciiTheme="majorHAnsi" w:hAnsiTheme="majorHAnsi" w:cstheme="majorHAnsi"/>
        </w:rPr>
      </w:pPr>
      <w:r w:rsidRPr="00372547">
        <w:rPr>
          <w:rFonts w:asciiTheme="majorHAnsi" w:hAnsiTheme="majorHAnsi" w:cstheme="majorHAnsi"/>
          <w:b/>
          <w:bCs/>
        </w:rPr>
        <w:t xml:space="preserve">Course availability and Completion Assessment:  </w:t>
      </w:r>
      <w:r w:rsidRPr="00372547">
        <w:rPr>
          <w:rFonts w:asciiTheme="majorHAnsi" w:hAnsiTheme="majorHAnsi" w:cstheme="majorHAnsi"/>
        </w:rPr>
        <w:t>All eLearning courses are available in the LMS. Use of the participant workbook is encouraged</w:t>
      </w:r>
      <w:r w:rsidR="00C73604">
        <w:rPr>
          <w:rFonts w:asciiTheme="majorHAnsi" w:hAnsiTheme="majorHAnsi" w:cstheme="majorHAnsi"/>
        </w:rPr>
        <w:t>. A</w:t>
      </w:r>
      <w:r w:rsidRPr="00372547">
        <w:rPr>
          <w:rFonts w:asciiTheme="majorHAnsi" w:hAnsiTheme="majorHAnsi" w:cstheme="majorHAnsi"/>
        </w:rPr>
        <w:t xml:space="preserve">ccess the workbooks </w:t>
      </w:r>
      <w:r w:rsidR="00C73604">
        <w:rPr>
          <w:rFonts w:asciiTheme="majorHAnsi" w:hAnsiTheme="majorHAnsi" w:cstheme="majorHAnsi"/>
        </w:rPr>
        <w:t xml:space="preserve">on the </w:t>
      </w:r>
      <w:hyperlink r:id="rId13" w:tooltip="Use this link to go to the course resource webpage." w:history="1">
        <w:r w:rsidR="00C73604" w:rsidRPr="00C73604">
          <w:rPr>
            <w:rStyle w:val="Hyperlink"/>
            <w:rFonts w:asciiTheme="majorHAnsi" w:hAnsiTheme="majorHAnsi" w:cstheme="majorHAnsi"/>
          </w:rPr>
          <w:t>course resource</w:t>
        </w:r>
      </w:hyperlink>
      <w:r w:rsidR="00C73604">
        <w:rPr>
          <w:rFonts w:asciiTheme="majorHAnsi" w:hAnsiTheme="majorHAnsi" w:cstheme="majorHAnsi"/>
        </w:rPr>
        <w:t xml:space="preserve"> webpage.</w:t>
      </w:r>
      <w:r w:rsidRPr="00372547">
        <w:rPr>
          <w:rFonts w:asciiTheme="majorHAnsi" w:hAnsiTheme="majorHAnsi" w:cstheme="majorHAnsi"/>
        </w:rPr>
        <w:t xml:space="preserve"> Completion of module assessments will indicate credit on the LMS employee training profile.</w:t>
      </w:r>
    </w:p>
    <w:p w:rsidR="00CD3130" w:rsidRDefault="00CD3130" w:rsidP="00CD3130">
      <w:pPr>
        <w:pStyle w:val="NoSpacing"/>
        <w:rPr>
          <w:rFonts w:ascii="Times New Roman" w:hAnsi="Times New Roman" w:cs="Times New Roman"/>
        </w:rPr>
      </w:pPr>
    </w:p>
    <w:p w:rsidR="00CD3130" w:rsidRDefault="00CD3130" w:rsidP="00CD3130">
      <w:pPr>
        <w:rPr>
          <w:b/>
          <w:sz w:val="20"/>
          <w:szCs w:val="20"/>
        </w:rPr>
      </w:pPr>
    </w:p>
    <w:p w:rsidR="00AB5ADD" w:rsidRDefault="00AB5ADD" w:rsidP="00AB5ADD">
      <w:r>
        <w:rPr>
          <w:b/>
        </w:rPr>
        <w:t>Cost</w:t>
      </w:r>
      <w:r w:rsidRPr="00914FB4">
        <w:rPr>
          <w:b/>
        </w:rPr>
        <w:t>:</w:t>
      </w:r>
      <w:r>
        <w:rPr>
          <w:b/>
        </w:rPr>
        <w:t xml:space="preserve"> </w:t>
      </w:r>
      <w:r>
        <w:t>None</w:t>
      </w:r>
    </w:p>
    <w:sectPr w:rsidR="00AB5ADD" w:rsidSect="002577A1"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50" w:rsidRDefault="003E0E50" w:rsidP="0030407E">
      <w:r>
        <w:separator/>
      </w:r>
    </w:p>
  </w:endnote>
  <w:endnote w:type="continuationSeparator" w:id="0">
    <w:p w:rsidR="003E0E50" w:rsidRDefault="003E0E50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0" w:rsidRDefault="0027384E" w:rsidP="0030407E">
    <w:pPr>
      <w:pStyle w:val="Footer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C0F2A70" wp14:editId="7CDBE5A6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61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9F45B0">
      <w:t>Washington State Department of Enterprise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E5" w:rsidRDefault="0027384E" w:rsidP="0030407E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2BD25" wp14:editId="56DF3A56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F7B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50" w:rsidRDefault="003E0E50" w:rsidP="0030407E">
      <w:r>
        <w:separator/>
      </w:r>
    </w:p>
  </w:footnote>
  <w:footnote w:type="continuationSeparator" w:id="0">
    <w:p w:rsidR="003E0E50" w:rsidRDefault="003E0E50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A4" w:rsidRDefault="0088589C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1B05FEC7" wp14:editId="500BDA4E">
          <wp:extent cx="4886815" cy="822960"/>
          <wp:effectExtent l="19050" t="0" r="9035" b="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432"/>
    <w:multiLevelType w:val="hybridMultilevel"/>
    <w:tmpl w:val="1EE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7C35"/>
    <w:multiLevelType w:val="hybridMultilevel"/>
    <w:tmpl w:val="A02C6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56521"/>
    <w:multiLevelType w:val="hybridMultilevel"/>
    <w:tmpl w:val="2B3A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6E2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6E15"/>
    <w:multiLevelType w:val="hybridMultilevel"/>
    <w:tmpl w:val="F63E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565"/>
    <w:multiLevelType w:val="hybridMultilevel"/>
    <w:tmpl w:val="8A9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94A1B"/>
    <w:multiLevelType w:val="hybridMultilevel"/>
    <w:tmpl w:val="51C4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3E09"/>
    <w:rsid w:val="00013566"/>
    <w:rsid w:val="00022193"/>
    <w:rsid w:val="00042FBC"/>
    <w:rsid w:val="00045550"/>
    <w:rsid w:val="00046FC8"/>
    <w:rsid w:val="000611DC"/>
    <w:rsid w:val="00067157"/>
    <w:rsid w:val="000A0FF4"/>
    <w:rsid w:val="000B49F5"/>
    <w:rsid w:val="000E4E7B"/>
    <w:rsid w:val="000F53C5"/>
    <w:rsid w:val="001477A8"/>
    <w:rsid w:val="00165F84"/>
    <w:rsid w:val="001924C4"/>
    <w:rsid w:val="001E031F"/>
    <w:rsid w:val="00205398"/>
    <w:rsid w:val="0021176E"/>
    <w:rsid w:val="00233EAC"/>
    <w:rsid w:val="00246118"/>
    <w:rsid w:val="0025692A"/>
    <w:rsid w:val="002577A1"/>
    <w:rsid w:val="0027384E"/>
    <w:rsid w:val="0030247C"/>
    <w:rsid w:val="0030407E"/>
    <w:rsid w:val="00372547"/>
    <w:rsid w:val="00393AC3"/>
    <w:rsid w:val="003D7E6B"/>
    <w:rsid w:val="003E00EC"/>
    <w:rsid w:val="003E0E50"/>
    <w:rsid w:val="0040066B"/>
    <w:rsid w:val="00432CAA"/>
    <w:rsid w:val="00466A41"/>
    <w:rsid w:val="00477D53"/>
    <w:rsid w:val="00480E49"/>
    <w:rsid w:val="004B07C3"/>
    <w:rsid w:val="004F1118"/>
    <w:rsid w:val="00500499"/>
    <w:rsid w:val="00517E0A"/>
    <w:rsid w:val="005215A9"/>
    <w:rsid w:val="005908A0"/>
    <w:rsid w:val="005A01C5"/>
    <w:rsid w:val="005D11BC"/>
    <w:rsid w:val="005E6784"/>
    <w:rsid w:val="00620B02"/>
    <w:rsid w:val="0069044E"/>
    <w:rsid w:val="006B712B"/>
    <w:rsid w:val="006E5559"/>
    <w:rsid w:val="007F5C49"/>
    <w:rsid w:val="008455F0"/>
    <w:rsid w:val="0088589C"/>
    <w:rsid w:val="008B100D"/>
    <w:rsid w:val="0091313F"/>
    <w:rsid w:val="00914FB4"/>
    <w:rsid w:val="009454A4"/>
    <w:rsid w:val="00987347"/>
    <w:rsid w:val="009B77B0"/>
    <w:rsid w:val="009F45B0"/>
    <w:rsid w:val="00A374B0"/>
    <w:rsid w:val="00A634FA"/>
    <w:rsid w:val="00A8307D"/>
    <w:rsid w:val="00AB5ADD"/>
    <w:rsid w:val="00B30D69"/>
    <w:rsid w:val="00B4620E"/>
    <w:rsid w:val="00B6485A"/>
    <w:rsid w:val="00BA0D17"/>
    <w:rsid w:val="00BE61E5"/>
    <w:rsid w:val="00C73604"/>
    <w:rsid w:val="00C85887"/>
    <w:rsid w:val="00CD3130"/>
    <w:rsid w:val="00CD7C2C"/>
    <w:rsid w:val="00CF7FAB"/>
    <w:rsid w:val="00D453DE"/>
    <w:rsid w:val="00D64C22"/>
    <w:rsid w:val="00E25086"/>
    <w:rsid w:val="00E34920"/>
    <w:rsid w:val="00E92664"/>
    <w:rsid w:val="00EB02B1"/>
    <w:rsid w:val="00EE3676"/>
    <w:rsid w:val="00F03B8F"/>
    <w:rsid w:val="00F20C1A"/>
    <w:rsid w:val="00F50E13"/>
    <w:rsid w:val="00F93483"/>
    <w:rsid w:val="00FA0DDB"/>
    <w:rsid w:val="00FE3910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99d31"/>
    </o:shapedefaults>
    <o:shapelayout v:ext="edit">
      <o:idmap v:ext="edit" data="1"/>
    </o:shapelayout>
  </w:shapeDefaults>
  <w:decimalSymbol w:val="."/>
  <w:listSeparator w:val=","/>
  <w14:docId w14:val="6E9E0E2D"/>
  <w15:docId w15:val="{12D08C2F-9962-4922-9B89-F7F8BFA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D64C22"/>
    <w:pPr>
      <w:spacing w:after="240"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D64C22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0F53C5"/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0F53C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A0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s.wa.gov/services/contracting-purchasing/policies-training/contracts-procurement-training-development/training-workbooks-resource-guides/CM1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es.wa.gov/services/contracting-purchasing/policies-training/contracts-procurement-training-development/contract-management-progra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EWUPACEUPKES-170-23326</_dlc_DocId>
    <_dlc_DocIdUrl xmlns="ab5d7b00-834a-4efe-8968-9d97478a3691">
      <Url>http://stage-des/_layouts/DocIdRedir.aspx?ID=EWUPACEUPKES-170-23326</Url>
      <Description>EWUPACEUPKES-170-23326</Description>
    </_dlc_DocIdUrl>
    <_dlc_DocIdPersistId xmlns="ab5d7b00-834a-4efe-8968-9d97478a3691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40382-21DB-4B14-8A57-019F9AE621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0195C6-4721-4A17-9551-3528EB62A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ab5d7b00-834a-4efe-8968-9d97478a36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4EA4A3-8B07-467D-AD03-CF1F184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Management 101 Course Description</vt:lpstr>
    </vt:vector>
  </TitlesOfParts>
  <Company>State of Washington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Management 101 Course Description</dc:title>
  <dc:creator>jessicam</dc:creator>
  <cp:lastModifiedBy>Landgraf, Denise (DES)</cp:lastModifiedBy>
  <cp:revision>5</cp:revision>
  <dcterms:created xsi:type="dcterms:W3CDTF">2018-06-28T19:18:00Z</dcterms:created>
  <dcterms:modified xsi:type="dcterms:W3CDTF">2018-06-28T19:58:00Z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Category">
    <vt:lpwstr>Template</vt:lpwstr>
  </property>
  <property fmtid="{D5CDD505-2E9C-101B-9397-08002B2CF9AE}" pid="4" name="_dlc_DocIdItemGuid">
    <vt:lpwstr>2cff3c16-26dc-43e3-a952-10d5ce87b35d</vt:lpwstr>
  </property>
  <property fmtid="{D5CDD505-2E9C-101B-9397-08002B2CF9AE}" pid="5" name="Order">
    <vt:r8>850100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