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4B" w:rsidRDefault="00BF464B" w:rsidP="00BF464B">
      <w:pPr>
        <w:spacing w:after="0" w:line="240" w:lineRule="auto"/>
        <w:jc w:val="center"/>
        <w:rPr>
          <w:color w:val="FF0000"/>
          <w:sz w:val="20"/>
          <w:szCs w:val="20"/>
        </w:rPr>
      </w:pPr>
      <w:bookmarkStart w:id="0" w:name="_GoBack"/>
      <w:bookmarkEnd w:id="0"/>
      <w:r w:rsidRPr="00BF464B">
        <w:rPr>
          <w:color w:val="FF0000"/>
          <w:sz w:val="20"/>
          <w:szCs w:val="20"/>
        </w:rPr>
        <w:t>**If unsure of which Action Type or Action Reason to choose, consult with your assigned Human Resource Consultant</w:t>
      </w:r>
      <w:proofErr w:type="gramStart"/>
      <w:r w:rsidRPr="00BF464B">
        <w:rPr>
          <w:color w:val="FF0000"/>
          <w:sz w:val="20"/>
          <w:szCs w:val="20"/>
        </w:rPr>
        <w:t>.*</w:t>
      </w:r>
      <w:proofErr w:type="gramEnd"/>
      <w:r w:rsidRPr="00BF464B">
        <w:rPr>
          <w:color w:val="FF0000"/>
          <w:sz w:val="20"/>
          <w:szCs w:val="20"/>
        </w:rPr>
        <w:t>*</w:t>
      </w:r>
    </w:p>
    <w:p w:rsidR="00B05D3E" w:rsidRPr="00B05D3E" w:rsidRDefault="00B05D3E" w:rsidP="00BF464B">
      <w:pPr>
        <w:spacing w:after="0" w:line="240" w:lineRule="auto"/>
        <w:jc w:val="center"/>
        <w:rPr>
          <w:color w:val="FF0000"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20"/>
        <w:gridCol w:w="5038"/>
        <w:gridCol w:w="3600"/>
        <w:gridCol w:w="720"/>
        <w:gridCol w:w="3690"/>
      </w:tblGrid>
      <w:tr w:rsidR="0021209A" w:rsidRPr="00F70846" w:rsidTr="00B05D3E">
        <w:trPr>
          <w:trHeight w:val="350"/>
        </w:trPr>
        <w:tc>
          <w:tcPr>
            <w:tcW w:w="1820" w:type="dxa"/>
            <w:shd w:val="clear" w:color="auto" w:fill="B6DDE8" w:themeFill="accent5" w:themeFillTint="66"/>
            <w:vAlign w:val="center"/>
          </w:tcPr>
          <w:p w:rsidR="0021209A" w:rsidRDefault="0021209A" w:rsidP="00E7382B">
            <w:pPr>
              <w:jc w:val="center"/>
              <w:rPr>
                <w:b/>
                <w:sz w:val="20"/>
                <w:szCs w:val="20"/>
              </w:rPr>
            </w:pPr>
            <w:r w:rsidRPr="00F70846">
              <w:rPr>
                <w:b/>
                <w:sz w:val="20"/>
                <w:szCs w:val="20"/>
              </w:rPr>
              <w:t>ACTION TYPE</w:t>
            </w:r>
          </w:p>
          <w:p w:rsidR="00ED01A3" w:rsidRPr="00F70846" w:rsidRDefault="00ED01A3" w:rsidP="00E738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(the type of action)</w:t>
            </w:r>
          </w:p>
        </w:tc>
        <w:tc>
          <w:tcPr>
            <w:tcW w:w="5038" w:type="dxa"/>
            <w:shd w:val="clear" w:color="auto" w:fill="B6DDE8" w:themeFill="accent5" w:themeFillTint="66"/>
            <w:vAlign w:val="center"/>
          </w:tcPr>
          <w:p w:rsidR="0021209A" w:rsidRPr="00F70846" w:rsidRDefault="0021209A" w:rsidP="00E7382B">
            <w:pPr>
              <w:jc w:val="center"/>
              <w:rPr>
                <w:b/>
                <w:sz w:val="20"/>
                <w:szCs w:val="20"/>
              </w:rPr>
            </w:pPr>
            <w:r w:rsidRPr="00F7084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8010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ED01A3" w:rsidRDefault="0021209A" w:rsidP="00E7382B">
            <w:pPr>
              <w:jc w:val="center"/>
              <w:rPr>
                <w:b/>
                <w:sz w:val="20"/>
                <w:szCs w:val="20"/>
              </w:rPr>
            </w:pPr>
            <w:r w:rsidRPr="00F70846">
              <w:rPr>
                <w:b/>
                <w:sz w:val="20"/>
                <w:szCs w:val="20"/>
              </w:rPr>
              <w:t>CORRESPONDING ACTION REASONS</w:t>
            </w:r>
            <w:r w:rsidR="00ED01A3">
              <w:rPr>
                <w:b/>
                <w:sz w:val="20"/>
                <w:szCs w:val="20"/>
              </w:rPr>
              <w:t xml:space="preserve"> </w:t>
            </w:r>
          </w:p>
          <w:p w:rsidR="0021209A" w:rsidRPr="00F70846" w:rsidRDefault="00ED01A3" w:rsidP="00E738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(the specific reason for performing an action)</w:t>
            </w:r>
          </w:p>
        </w:tc>
      </w:tr>
      <w:tr w:rsidR="0021209A" w:rsidTr="00B05D3E">
        <w:tc>
          <w:tcPr>
            <w:tcW w:w="1820" w:type="dxa"/>
            <w:shd w:val="clear" w:color="auto" w:fill="DAEEF3" w:themeFill="accent5" w:themeFillTint="33"/>
          </w:tcPr>
          <w:p w:rsidR="0021209A" w:rsidRPr="0015215E" w:rsidRDefault="0021209A">
            <w:pPr>
              <w:rPr>
                <w:b/>
              </w:rPr>
            </w:pPr>
            <w:r w:rsidRPr="0015215E">
              <w:rPr>
                <w:b/>
              </w:rPr>
              <w:t>Appointment Change</w:t>
            </w:r>
          </w:p>
        </w:tc>
        <w:tc>
          <w:tcPr>
            <w:tcW w:w="5038" w:type="dxa"/>
            <w:shd w:val="clear" w:color="auto" w:fill="DAEEF3" w:themeFill="accent5" w:themeFillTint="33"/>
          </w:tcPr>
          <w:p w:rsidR="0021209A" w:rsidRPr="00B05D3E" w:rsidRDefault="0021209A" w:rsidP="003A731D">
            <w:p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 xml:space="preserve">Use this action </w:t>
            </w:r>
            <w:r w:rsidR="003A731D">
              <w:rPr>
                <w:sz w:val="20"/>
                <w:szCs w:val="20"/>
              </w:rPr>
              <w:t>to indicate a change to an employee’s appointment within the agency or movement of an employee between different agencies without a break in service.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21209A" w:rsidRPr="00B05D3E" w:rsidRDefault="0021209A" w:rsidP="00F7084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Adjust Hours Worked</w:t>
            </w:r>
          </w:p>
          <w:p w:rsidR="0021209A" w:rsidRPr="00B05D3E" w:rsidRDefault="0021209A" w:rsidP="00F7084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Demotion (specify Disciplinary, In Lieu of Layoff, or Voluntary)</w:t>
            </w:r>
          </w:p>
          <w:p w:rsidR="0021209A" w:rsidRPr="00B05D3E" w:rsidRDefault="0021209A" w:rsidP="00F7084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Elevation</w:t>
            </w:r>
          </w:p>
          <w:p w:rsidR="0021209A" w:rsidRPr="00B05D3E" w:rsidRDefault="0021209A" w:rsidP="00F7084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Exempt</w:t>
            </w:r>
          </w:p>
          <w:p w:rsidR="0021209A" w:rsidRPr="00B05D3E" w:rsidRDefault="0021209A" w:rsidP="00F7084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In-Training (specify Begin, Level Complete, Series Complete or Extend)</w:t>
            </w:r>
          </w:p>
          <w:p w:rsidR="0021209A" w:rsidRPr="00B05D3E" w:rsidRDefault="0021209A" w:rsidP="00F7084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Layoff (specify Layoff List or Layoff Option Accepted)</w:t>
            </w:r>
          </w:p>
          <w:p w:rsidR="0021209A" w:rsidRPr="00B05D3E" w:rsidRDefault="0021209A" w:rsidP="00F7084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Non-Employee</w:t>
            </w:r>
          </w:p>
          <w:p w:rsidR="0021209A" w:rsidRPr="00B05D3E" w:rsidRDefault="0021209A" w:rsidP="00BB086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Non-Perm (specify Limited, On Call, or Extend)</w:t>
            </w:r>
          </w:p>
        </w:tc>
        <w:tc>
          <w:tcPr>
            <w:tcW w:w="3690" w:type="dxa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</w:tcPr>
          <w:p w:rsidR="00BB086B" w:rsidRPr="00B05D3E" w:rsidRDefault="00BB086B" w:rsidP="0021209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 xml:space="preserve">Non-Perm to Permanent </w:t>
            </w:r>
          </w:p>
          <w:p w:rsidR="00BB086B" w:rsidRPr="00B05D3E" w:rsidRDefault="00BB086B" w:rsidP="0021209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Other (specify)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Permanent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Probationary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Project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Promotion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Reallocation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Reassignment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Retiree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Season-Career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Transfer</w:t>
            </w:r>
          </w:p>
          <w:p w:rsidR="0021209A" w:rsidRPr="00B05D3E" w:rsidRDefault="0021209A" w:rsidP="00BB086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WMS</w:t>
            </w:r>
          </w:p>
        </w:tc>
      </w:tr>
      <w:tr w:rsidR="0021209A" w:rsidTr="00B05D3E">
        <w:tc>
          <w:tcPr>
            <w:tcW w:w="1820" w:type="dxa"/>
            <w:shd w:val="clear" w:color="auto" w:fill="DAEEF3" w:themeFill="accent5" w:themeFillTint="33"/>
          </w:tcPr>
          <w:p w:rsidR="0021209A" w:rsidRPr="0015215E" w:rsidRDefault="0021209A">
            <w:pPr>
              <w:rPr>
                <w:b/>
              </w:rPr>
            </w:pPr>
            <w:r w:rsidRPr="0015215E">
              <w:rPr>
                <w:b/>
              </w:rPr>
              <w:t>Change of Status</w:t>
            </w:r>
          </w:p>
        </w:tc>
        <w:tc>
          <w:tcPr>
            <w:tcW w:w="5038" w:type="dxa"/>
            <w:shd w:val="clear" w:color="auto" w:fill="DAEEF3" w:themeFill="accent5" w:themeFillTint="33"/>
          </w:tcPr>
          <w:p w:rsidR="0021209A" w:rsidRPr="00B05D3E" w:rsidRDefault="0021209A">
            <w:p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Use this action type when an employee’s status in their position or state status changes.</w:t>
            </w:r>
          </w:p>
        </w:tc>
        <w:tc>
          <w:tcPr>
            <w:tcW w:w="8010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1209A" w:rsidRPr="00B05D3E" w:rsidRDefault="0021209A" w:rsidP="0021209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In-Training (specify Level Complete, Series Complete, or Extend)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Non-Perm (specify Extend)</w:t>
            </w:r>
          </w:p>
          <w:p w:rsidR="0021209A" w:rsidRPr="00B05D3E" w:rsidRDefault="0021209A" w:rsidP="00BB086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Review Period-Extend (specify Probationary Period, Transitional Review Period, Trial Service Period, or WMS Review Period)</w:t>
            </w:r>
          </w:p>
        </w:tc>
      </w:tr>
      <w:tr w:rsidR="0021209A" w:rsidTr="00B05D3E">
        <w:tc>
          <w:tcPr>
            <w:tcW w:w="1820" w:type="dxa"/>
            <w:shd w:val="clear" w:color="auto" w:fill="DAEEF3" w:themeFill="accent5" w:themeFillTint="33"/>
          </w:tcPr>
          <w:p w:rsidR="0021209A" w:rsidRPr="0015215E" w:rsidRDefault="0021209A">
            <w:pPr>
              <w:rPr>
                <w:b/>
              </w:rPr>
            </w:pPr>
            <w:r w:rsidRPr="0015215E">
              <w:rPr>
                <w:b/>
              </w:rPr>
              <w:t>Concurrent Employment</w:t>
            </w:r>
          </w:p>
        </w:tc>
        <w:tc>
          <w:tcPr>
            <w:tcW w:w="5038" w:type="dxa"/>
            <w:shd w:val="clear" w:color="auto" w:fill="DAEEF3" w:themeFill="accent5" w:themeFillTint="33"/>
          </w:tcPr>
          <w:p w:rsidR="0021209A" w:rsidRPr="00B05D3E" w:rsidRDefault="0021209A" w:rsidP="00F70846">
            <w:p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Use this action type when an employee works in more than one position at the same time, either:</w:t>
            </w:r>
          </w:p>
          <w:p w:rsidR="0021209A" w:rsidRPr="00B05D3E" w:rsidRDefault="0021209A" w:rsidP="00F7084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in two different agencies; or</w:t>
            </w:r>
          </w:p>
          <w:p w:rsidR="0021209A" w:rsidRPr="00B05D3E" w:rsidRDefault="0021209A" w:rsidP="00F7084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gramStart"/>
            <w:r w:rsidRPr="00B05D3E">
              <w:rPr>
                <w:sz w:val="20"/>
                <w:szCs w:val="20"/>
              </w:rPr>
              <w:t>in</w:t>
            </w:r>
            <w:proofErr w:type="gramEnd"/>
            <w:r w:rsidRPr="00B05D3E">
              <w:rPr>
                <w:sz w:val="20"/>
                <w:szCs w:val="20"/>
              </w:rPr>
              <w:t xml:space="preserve"> the same agency, when one appointment is hourly and the other appointment is monthly.</w:t>
            </w:r>
          </w:p>
        </w:tc>
        <w:tc>
          <w:tcPr>
            <w:tcW w:w="3600" w:type="dxa"/>
            <w:tcBorders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21209A" w:rsidRPr="00B05D3E" w:rsidRDefault="0021209A" w:rsidP="0021209A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Exempt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Internship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In-Training (specify Begin)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Layoff (specify Layoff List)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Non-Employee</w:t>
            </w:r>
          </w:p>
          <w:p w:rsidR="0021209A" w:rsidRPr="00B05D3E" w:rsidRDefault="0021209A" w:rsidP="00B05D3E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Non-Perm (Specify Limited or On-Call)</w:t>
            </w:r>
          </w:p>
        </w:tc>
        <w:tc>
          <w:tcPr>
            <w:tcW w:w="4410" w:type="dxa"/>
            <w:gridSpan w:val="2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</w:tcPr>
          <w:p w:rsidR="00B05D3E" w:rsidRDefault="00B05D3E" w:rsidP="00BB086B">
            <w:pPr>
              <w:pStyle w:val="ListParagraph"/>
              <w:numPr>
                <w:ilvl w:val="1"/>
                <w:numId w:val="18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Other (specify)</w:t>
            </w:r>
          </w:p>
          <w:p w:rsidR="00BB086B" w:rsidRPr="00B05D3E" w:rsidRDefault="00BB086B" w:rsidP="00BB086B">
            <w:pPr>
              <w:pStyle w:val="ListParagraph"/>
              <w:numPr>
                <w:ilvl w:val="1"/>
                <w:numId w:val="18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Permanent</w:t>
            </w:r>
          </w:p>
          <w:p w:rsidR="00BB086B" w:rsidRPr="00B05D3E" w:rsidRDefault="00BB086B" w:rsidP="00BB086B">
            <w:pPr>
              <w:pStyle w:val="ListParagraph"/>
              <w:numPr>
                <w:ilvl w:val="1"/>
                <w:numId w:val="18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Probationary</w:t>
            </w:r>
          </w:p>
          <w:p w:rsidR="0021209A" w:rsidRPr="00B05D3E" w:rsidRDefault="00BB086B" w:rsidP="00BB086B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 xml:space="preserve">Project </w:t>
            </w:r>
            <w:r w:rsidR="0021209A" w:rsidRPr="00B05D3E">
              <w:rPr>
                <w:sz w:val="20"/>
                <w:szCs w:val="20"/>
              </w:rPr>
              <w:t>Promotion</w:t>
            </w:r>
          </w:p>
          <w:p w:rsidR="0021209A" w:rsidRPr="00B05D3E" w:rsidRDefault="0021209A" w:rsidP="0021209A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Retiree</w:t>
            </w:r>
          </w:p>
          <w:p w:rsidR="0021209A" w:rsidRPr="00B05D3E" w:rsidRDefault="0021209A" w:rsidP="0021209A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Seasonal-Career</w:t>
            </w:r>
          </w:p>
          <w:p w:rsidR="0021209A" w:rsidRPr="00B05D3E" w:rsidRDefault="0021209A" w:rsidP="00B05D3E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WMS</w:t>
            </w:r>
          </w:p>
        </w:tc>
      </w:tr>
      <w:tr w:rsidR="0021209A" w:rsidTr="00B05D3E">
        <w:tc>
          <w:tcPr>
            <w:tcW w:w="1820" w:type="dxa"/>
            <w:shd w:val="clear" w:color="auto" w:fill="DAEEF3" w:themeFill="accent5" w:themeFillTint="33"/>
          </w:tcPr>
          <w:p w:rsidR="0021209A" w:rsidRPr="0015215E" w:rsidRDefault="0021209A">
            <w:pPr>
              <w:rPr>
                <w:b/>
              </w:rPr>
            </w:pPr>
            <w:r w:rsidRPr="0015215E">
              <w:rPr>
                <w:b/>
              </w:rPr>
              <w:t>Leave of Absence – Active</w:t>
            </w:r>
          </w:p>
        </w:tc>
        <w:tc>
          <w:tcPr>
            <w:tcW w:w="5038" w:type="dxa"/>
            <w:shd w:val="clear" w:color="auto" w:fill="DAEEF3" w:themeFill="accent5" w:themeFillTint="33"/>
          </w:tcPr>
          <w:p w:rsidR="0021209A" w:rsidRPr="00B05D3E" w:rsidRDefault="0021209A" w:rsidP="003A731D">
            <w:p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 xml:space="preserve">Use this action type when an employee is on a leave of absence for a significant amount of time and </w:t>
            </w:r>
            <w:r w:rsidRPr="003A731D">
              <w:rPr>
                <w:b/>
                <w:sz w:val="20"/>
                <w:szCs w:val="20"/>
                <w:u w:val="single"/>
              </w:rPr>
              <w:t>will</w:t>
            </w:r>
            <w:r w:rsidRPr="003A731D">
              <w:rPr>
                <w:b/>
                <w:sz w:val="20"/>
                <w:szCs w:val="20"/>
              </w:rPr>
              <w:t xml:space="preserve"> </w:t>
            </w:r>
            <w:r w:rsidRPr="00B05D3E">
              <w:rPr>
                <w:sz w:val="20"/>
                <w:szCs w:val="20"/>
              </w:rPr>
              <w:t>use paid leave during the absence.  State HR defines this as absences in excess of 15 days, OR for circumstances that require additional tracking outside the leave system – i.e. FMLA, Disciplinary, Military, etc.</w:t>
            </w:r>
          </w:p>
        </w:tc>
        <w:tc>
          <w:tcPr>
            <w:tcW w:w="8010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1209A" w:rsidRPr="00B05D3E" w:rsidRDefault="0021209A" w:rsidP="0021209A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LOA Reason (specify Family Medical Leave, Leave Without Pay, Medical, or Other and describe)</w:t>
            </w:r>
          </w:p>
        </w:tc>
      </w:tr>
      <w:tr w:rsidR="0021209A" w:rsidTr="00B05D3E">
        <w:tc>
          <w:tcPr>
            <w:tcW w:w="1820" w:type="dxa"/>
            <w:shd w:val="clear" w:color="auto" w:fill="DAEEF3" w:themeFill="accent5" w:themeFillTint="33"/>
          </w:tcPr>
          <w:p w:rsidR="0021209A" w:rsidRPr="0015215E" w:rsidRDefault="0021209A">
            <w:pPr>
              <w:rPr>
                <w:b/>
              </w:rPr>
            </w:pPr>
            <w:r w:rsidRPr="0015215E">
              <w:rPr>
                <w:b/>
              </w:rPr>
              <w:t>Leave of Absence – Inactive</w:t>
            </w:r>
          </w:p>
        </w:tc>
        <w:tc>
          <w:tcPr>
            <w:tcW w:w="5038" w:type="dxa"/>
            <w:shd w:val="clear" w:color="auto" w:fill="DAEEF3" w:themeFill="accent5" w:themeFillTint="33"/>
          </w:tcPr>
          <w:p w:rsidR="0021209A" w:rsidRPr="00B05D3E" w:rsidRDefault="0021209A" w:rsidP="00BB086B">
            <w:p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 xml:space="preserve">Use this action type when an employee is on a leave of absence for a significant amount of time and </w:t>
            </w:r>
            <w:r w:rsidRPr="003A731D">
              <w:rPr>
                <w:b/>
                <w:sz w:val="20"/>
                <w:szCs w:val="20"/>
                <w:u w:val="single"/>
              </w:rPr>
              <w:t>will not</w:t>
            </w:r>
            <w:r w:rsidRPr="00B05D3E">
              <w:rPr>
                <w:sz w:val="20"/>
                <w:szCs w:val="20"/>
              </w:rPr>
              <w:t xml:space="preserve"> use any paid leave during the absence.  State HR defines this as absences in excess of 15 days, OR for circumstances that require additional tracking outside the leave system – i.e. FMLA, Disciplinary, Military, etc.</w:t>
            </w:r>
          </w:p>
        </w:tc>
        <w:tc>
          <w:tcPr>
            <w:tcW w:w="8010" w:type="dxa"/>
            <w:gridSpan w:val="3"/>
            <w:shd w:val="clear" w:color="auto" w:fill="DAEEF3" w:themeFill="accent5" w:themeFillTint="33"/>
          </w:tcPr>
          <w:p w:rsidR="0021209A" w:rsidRPr="00B05D3E" w:rsidRDefault="0021209A" w:rsidP="0021209A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LOA Reason (specify Family Medical Leave, Leave Without Pay, Medical, or Other and describe)</w:t>
            </w:r>
          </w:p>
        </w:tc>
      </w:tr>
    </w:tbl>
    <w:p w:rsidR="00B05D3E" w:rsidRDefault="00B05D3E"/>
    <w:p w:rsidR="00B05D3E" w:rsidRDefault="00B05D3E"/>
    <w:p w:rsidR="00B05D3E" w:rsidRDefault="00B05D3E" w:rsidP="00B05D3E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BF464B">
        <w:rPr>
          <w:color w:val="FF0000"/>
          <w:sz w:val="20"/>
          <w:szCs w:val="20"/>
        </w:rPr>
        <w:lastRenderedPageBreak/>
        <w:t>**If unsure of which Action Type or Action Reason to choose, consult with your assigned Human Resource Consultant</w:t>
      </w:r>
      <w:proofErr w:type="gramStart"/>
      <w:r w:rsidRPr="00BF464B">
        <w:rPr>
          <w:color w:val="FF0000"/>
          <w:sz w:val="20"/>
          <w:szCs w:val="20"/>
        </w:rPr>
        <w:t>.*</w:t>
      </w:r>
      <w:proofErr w:type="gramEnd"/>
      <w:r w:rsidRPr="00BF464B">
        <w:rPr>
          <w:color w:val="FF0000"/>
          <w:sz w:val="20"/>
          <w:szCs w:val="20"/>
        </w:rPr>
        <w:t>*</w:t>
      </w:r>
    </w:p>
    <w:p w:rsidR="00B05D3E" w:rsidRPr="00B05D3E" w:rsidRDefault="00B05D3E" w:rsidP="00B05D3E">
      <w:pPr>
        <w:spacing w:after="0" w:line="240" w:lineRule="auto"/>
        <w:jc w:val="center"/>
        <w:rPr>
          <w:color w:val="FF0000"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20"/>
        <w:gridCol w:w="5038"/>
        <w:gridCol w:w="3600"/>
        <w:gridCol w:w="180"/>
        <w:gridCol w:w="4230"/>
      </w:tblGrid>
      <w:tr w:rsidR="00B05D3E" w:rsidRPr="00F70846" w:rsidTr="006C35AB">
        <w:trPr>
          <w:trHeight w:val="350"/>
        </w:trPr>
        <w:tc>
          <w:tcPr>
            <w:tcW w:w="1820" w:type="dxa"/>
            <w:shd w:val="clear" w:color="auto" w:fill="B6DDE8" w:themeFill="accent5" w:themeFillTint="66"/>
            <w:vAlign w:val="center"/>
          </w:tcPr>
          <w:p w:rsidR="00B05D3E" w:rsidRDefault="00B05D3E" w:rsidP="006C35AB">
            <w:pPr>
              <w:jc w:val="center"/>
              <w:rPr>
                <w:b/>
                <w:sz w:val="20"/>
                <w:szCs w:val="20"/>
              </w:rPr>
            </w:pPr>
            <w:r w:rsidRPr="00F70846">
              <w:rPr>
                <w:b/>
                <w:sz w:val="20"/>
                <w:szCs w:val="20"/>
              </w:rPr>
              <w:t>ACTION TYPE</w:t>
            </w:r>
          </w:p>
          <w:p w:rsidR="00B05D3E" w:rsidRPr="00F70846" w:rsidRDefault="00B05D3E" w:rsidP="006C35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(the type of action)</w:t>
            </w:r>
          </w:p>
        </w:tc>
        <w:tc>
          <w:tcPr>
            <w:tcW w:w="5038" w:type="dxa"/>
            <w:shd w:val="clear" w:color="auto" w:fill="B6DDE8" w:themeFill="accent5" w:themeFillTint="66"/>
            <w:vAlign w:val="center"/>
          </w:tcPr>
          <w:p w:rsidR="00B05D3E" w:rsidRPr="00F70846" w:rsidRDefault="00B05D3E" w:rsidP="006C35AB">
            <w:pPr>
              <w:jc w:val="center"/>
              <w:rPr>
                <w:b/>
                <w:sz w:val="20"/>
                <w:szCs w:val="20"/>
              </w:rPr>
            </w:pPr>
            <w:r w:rsidRPr="00F7084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8010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05D3E" w:rsidRDefault="00B05D3E" w:rsidP="006C35AB">
            <w:pPr>
              <w:jc w:val="center"/>
              <w:rPr>
                <w:b/>
                <w:sz w:val="20"/>
                <w:szCs w:val="20"/>
              </w:rPr>
            </w:pPr>
            <w:r w:rsidRPr="00F70846">
              <w:rPr>
                <w:b/>
                <w:sz w:val="20"/>
                <w:szCs w:val="20"/>
              </w:rPr>
              <w:t>CORRESPONDING ACTION REASONS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05D3E" w:rsidRPr="00F70846" w:rsidRDefault="00B05D3E" w:rsidP="006C35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(the specific reason for performing an action)</w:t>
            </w:r>
          </w:p>
        </w:tc>
      </w:tr>
      <w:tr w:rsidR="0021209A" w:rsidTr="00B05D3E">
        <w:tc>
          <w:tcPr>
            <w:tcW w:w="1820" w:type="dxa"/>
            <w:shd w:val="clear" w:color="auto" w:fill="DAEEF3" w:themeFill="accent5" w:themeFillTint="33"/>
          </w:tcPr>
          <w:p w:rsidR="0021209A" w:rsidRPr="0015215E" w:rsidRDefault="0021209A" w:rsidP="00B11413">
            <w:pPr>
              <w:rPr>
                <w:b/>
              </w:rPr>
            </w:pPr>
            <w:r w:rsidRPr="0015215E">
              <w:rPr>
                <w:b/>
              </w:rPr>
              <w:t>New Hire</w:t>
            </w:r>
          </w:p>
        </w:tc>
        <w:tc>
          <w:tcPr>
            <w:tcW w:w="5038" w:type="dxa"/>
            <w:shd w:val="clear" w:color="auto" w:fill="DAEEF3" w:themeFill="accent5" w:themeFillTint="33"/>
          </w:tcPr>
          <w:p w:rsidR="0021209A" w:rsidRPr="00B05D3E" w:rsidRDefault="0021209A" w:rsidP="00B11413">
            <w:p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Use this action when an employee is hired into your agency and does not have an existing personnel number in HRMS.</w:t>
            </w:r>
          </w:p>
        </w:tc>
        <w:tc>
          <w:tcPr>
            <w:tcW w:w="3600" w:type="dxa"/>
            <w:tcBorders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21209A" w:rsidRPr="00B05D3E" w:rsidRDefault="0021209A" w:rsidP="00B1141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Exempt</w:t>
            </w:r>
          </w:p>
          <w:p w:rsidR="0021209A" w:rsidRPr="00B05D3E" w:rsidRDefault="0021209A" w:rsidP="00B1141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Internship</w:t>
            </w:r>
          </w:p>
          <w:p w:rsidR="0021209A" w:rsidRPr="00B05D3E" w:rsidRDefault="0021209A" w:rsidP="00B1141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In-Training (specify Begin)</w:t>
            </w:r>
          </w:p>
          <w:p w:rsidR="0021209A" w:rsidRPr="00B05D3E" w:rsidRDefault="0021209A" w:rsidP="00B1141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Non-Employee</w:t>
            </w:r>
          </w:p>
          <w:p w:rsidR="0021209A" w:rsidRPr="00B05D3E" w:rsidRDefault="0021209A" w:rsidP="00B05D3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Non-Perm (specify Limited or On Call)</w:t>
            </w:r>
          </w:p>
        </w:tc>
        <w:tc>
          <w:tcPr>
            <w:tcW w:w="4410" w:type="dxa"/>
            <w:gridSpan w:val="2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</w:tcPr>
          <w:p w:rsidR="00B05D3E" w:rsidRDefault="00B05D3E" w:rsidP="0021209A">
            <w:pPr>
              <w:pStyle w:val="ListParagraph"/>
              <w:numPr>
                <w:ilvl w:val="0"/>
                <w:numId w:val="15"/>
              </w:num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(specify)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15"/>
              </w:numPr>
              <w:ind w:left="1080"/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Probationary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15"/>
              </w:numPr>
              <w:ind w:left="1080"/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Project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15"/>
              </w:numPr>
              <w:ind w:left="1080"/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Retiree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15"/>
              </w:numPr>
              <w:ind w:left="1080"/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Seasonal-Career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15"/>
              </w:numPr>
              <w:ind w:left="1080"/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WMS</w:t>
            </w:r>
          </w:p>
        </w:tc>
      </w:tr>
      <w:tr w:rsidR="0021209A" w:rsidTr="00B05D3E">
        <w:tc>
          <w:tcPr>
            <w:tcW w:w="1820" w:type="dxa"/>
            <w:shd w:val="clear" w:color="auto" w:fill="DAEEF3" w:themeFill="accent5" w:themeFillTint="33"/>
          </w:tcPr>
          <w:p w:rsidR="0021209A" w:rsidRPr="0015215E" w:rsidRDefault="0021209A" w:rsidP="00B11413">
            <w:pPr>
              <w:rPr>
                <w:b/>
              </w:rPr>
            </w:pPr>
            <w:r>
              <w:rPr>
                <w:b/>
              </w:rPr>
              <w:t>R</w:t>
            </w:r>
            <w:r w:rsidRPr="0015215E">
              <w:rPr>
                <w:b/>
              </w:rPr>
              <w:t>ehire</w:t>
            </w:r>
          </w:p>
        </w:tc>
        <w:tc>
          <w:tcPr>
            <w:tcW w:w="5038" w:type="dxa"/>
            <w:shd w:val="clear" w:color="auto" w:fill="DAEEF3" w:themeFill="accent5" w:themeFillTint="33"/>
          </w:tcPr>
          <w:p w:rsidR="0021209A" w:rsidRPr="00B05D3E" w:rsidRDefault="0021209A" w:rsidP="00B11413">
            <w:p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 xml:space="preserve">Use this action for an employee who is has previously worked for the state of </w:t>
            </w:r>
            <w:proofErr w:type="gramStart"/>
            <w:r w:rsidRPr="00B05D3E">
              <w:rPr>
                <w:sz w:val="20"/>
                <w:szCs w:val="20"/>
              </w:rPr>
              <w:t>Washington,</w:t>
            </w:r>
            <w:proofErr w:type="gramEnd"/>
            <w:r w:rsidRPr="00B05D3E">
              <w:rPr>
                <w:sz w:val="20"/>
                <w:szCs w:val="20"/>
              </w:rPr>
              <w:t xml:space="preserve"> has an existing personnel number in HRMS, and whose current status in HRMS is Withdrawn.  The rehire action is used to indicate an employee has had a break in service.</w:t>
            </w:r>
          </w:p>
        </w:tc>
        <w:tc>
          <w:tcPr>
            <w:tcW w:w="3600" w:type="dxa"/>
            <w:tcBorders>
              <w:right w:val="nil"/>
            </w:tcBorders>
            <w:shd w:val="clear" w:color="auto" w:fill="DAEEF3" w:themeFill="accent5" w:themeFillTint="33"/>
          </w:tcPr>
          <w:p w:rsidR="0021209A" w:rsidRPr="00B05D3E" w:rsidRDefault="0021209A" w:rsidP="00B1141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Exempt</w:t>
            </w:r>
          </w:p>
          <w:p w:rsidR="0021209A" w:rsidRPr="00B05D3E" w:rsidRDefault="0021209A" w:rsidP="00B1141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Internship</w:t>
            </w:r>
          </w:p>
          <w:p w:rsidR="0021209A" w:rsidRPr="00B05D3E" w:rsidRDefault="0021209A" w:rsidP="00B1141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In-Training (specify Begin)</w:t>
            </w:r>
          </w:p>
          <w:p w:rsidR="0021209A" w:rsidRPr="00B05D3E" w:rsidRDefault="0021209A" w:rsidP="00B1141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Layoff (specify Layoff List)</w:t>
            </w:r>
          </w:p>
          <w:p w:rsidR="0021209A" w:rsidRPr="00B05D3E" w:rsidRDefault="0021209A" w:rsidP="00B1141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Non-Employee</w:t>
            </w:r>
          </w:p>
          <w:p w:rsidR="0021209A" w:rsidRPr="00B05D3E" w:rsidRDefault="0021209A" w:rsidP="00B05D3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Non-Perm (specify Limited or On Call)</w:t>
            </w:r>
          </w:p>
        </w:tc>
        <w:tc>
          <w:tcPr>
            <w:tcW w:w="4410" w:type="dxa"/>
            <w:gridSpan w:val="2"/>
            <w:tcBorders>
              <w:left w:val="nil"/>
            </w:tcBorders>
            <w:shd w:val="clear" w:color="auto" w:fill="DAEEF3" w:themeFill="accent5" w:themeFillTint="33"/>
          </w:tcPr>
          <w:p w:rsidR="00B05D3E" w:rsidRDefault="00B05D3E" w:rsidP="0021209A">
            <w:pPr>
              <w:pStyle w:val="ListParagraph"/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Other (specify)</w:t>
            </w:r>
          </w:p>
          <w:p w:rsidR="0021209A" w:rsidRPr="00B05D3E" w:rsidRDefault="0021209A" w:rsidP="0021209A">
            <w:pPr>
              <w:pStyle w:val="ListParagraph"/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Permanent</w:t>
            </w:r>
          </w:p>
          <w:p w:rsidR="0021209A" w:rsidRPr="00B05D3E" w:rsidRDefault="0021209A" w:rsidP="0021209A">
            <w:pPr>
              <w:pStyle w:val="ListParagraph"/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Probationary</w:t>
            </w:r>
          </w:p>
          <w:p w:rsidR="0021209A" w:rsidRPr="00B05D3E" w:rsidRDefault="0021209A" w:rsidP="0021209A">
            <w:pPr>
              <w:pStyle w:val="ListParagraph"/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Project</w:t>
            </w:r>
          </w:p>
          <w:p w:rsidR="0021209A" w:rsidRPr="00B05D3E" w:rsidRDefault="0021209A" w:rsidP="0021209A">
            <w:pPr>
              <w:pStyle w:val="ListParagraph"/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Retiree</w:t>
            </w:r>
          </w:p>
          <w:p w:rsidR="0021209A" w:rsidRPr="00B05D3E" w:rsidRDefault="0021209A" w:rsidP="0021209A">
            <w:pPr>
              <w:pStyle w:val="ListParagraph"/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Seasonal-Career</w:t>
            </w:r>
          </w:p>
          <w:p w:rsidR="0021209A" w:rsidRPr="00B05D3E" w:rsidRDefault="0021209A" w:rsidP="00B05D3E">
            <w:pPr>
              <w:pStyle w:val="ListParagraph"/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WMS</w:t>
            </w:r>
          </w:p>
        </w:tc>
      </w:tr>
      <w:tr w:rsidR="0021209A" w:rsidTr="00B05D3E">
        <w:tc>
          <w:tcPr>
            <w:tcW w:w="1820" w:type="dxa"/>
            <w:shd w:val="clear" w:color="auto" w:fill="DAEEF3" w:themeFill="accent5" w:themeFillTint="33"/>
          </w:tcPr>
          <w:p w:rsidR="0021209A" w:rsidRPr="0015215E" w:rsidRDefault="0021209A" w:rsidP="00B11413">
            <w:pPr>
              <w:rPr>
                <w:b/>
              </w:rPr>
            </w:pPr>
            <w:r w:rsidRPr="0015215E">
              <w:rPr>
                <w:b/>
              </w:rPr>
              <w:t>Return from Leave of Absence</w:t>
            </w:r>
          </w:p>
        </w:tc>
        <w:tc>
          <w:tcPr>
            <w:tcW w:w="5038" w:type="dxa"/>
            <w:shd w:val="clear" w:color="auto" w:fill="DAEEF3" w:themeFill="accent5" w:themeFillTint="33"/>
          </w:tcPr>
          <w:p w:rsidR="0021209A" w:rsidRPr="00B05D3E" w:rsidRDefault="0021209A" w:rsidP="00B11413">
            <w:p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Use this action for an employee who is returning from an active or inactive leave of absence.</w:t>
            </w:r>
          </w:p>
        </w:tc>
        <w:tc>
          <w:tcPr>
            <w:tcW w:w="8010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1209A" w:rsidRPr="00B05D3E" w:rsidRDefault="0021209A" w:rsidP="00B1141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LOA Reason (specify Family Medical Leave, Leave Without Pay, Medical, or Other and describe)</w:t>
            </w:r>
          </w:p>
          <w:p w:rsidR="0021209A" w:rsidRPr="00B05D3E" w:rsidRDefault="0021209A" w:rsidP="00C3411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21209A" w:rsidTr="00B05D3E">
        <w:tc>
          <w:tcPr>
            <w:tcW w:w="1820" w:type="dxa"/>
            <w:shd w:val="clear" w:color="auto" w:fill="DAEEF3" w:themeFill="accent5" w:themeFillTint="33"/>
          </w:tcPr>
          <w:p w:rsidR="0021209A" w:rsidRPr="0015215E" w:rsidRDefault="0021209A" w:rsidP="00B11413">
            <w:pPr>
              <w:rPr>
                <w:b/>
              </w:rPr>
            </w:pPr>
            <w:r w:rsidRPr="0015215E">
              <w:rPr>
                <w:b/>
              </w:rPr>
              <w:t>Separation</w:t>
            </w:r>
          </w:p>
        </w:tc>
        <w:tc>
          <w:tcPr>
            <w:tcW w:w="5038" w:type="dxa"/>
            <w:shd w:val="clear" w:color="auto" w:fill="DAEEF3" w:themeFill="accent5" w:themeFillTint="33"/>
          </w:tcPr>
          <w:p w:rsidR="0021209A" w:rsidRPr="00B05D3E" w:rsidRDefault="0021209A" w:rsidP="00B11413">
            <w:p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Use this action for an employee who is leaving Washington State service for voluntary or involuntary reasons.</w:t>
            </w:r>
          </w:p>
        </w:tc>
        <w:tc>
          <w:tcPr>
            <w:tcW w:w="3780" w:type="dxa"/>
            <w:gridSpan w:val="2"/>
            <w:tcBorders>
              <w:right w:val="nil"/>
            </w:tcBorders>
            <w:shd w:val="clear" w:color="auto" w:fill="DAEEF3" w:themeFill="accent5" w:themeFillTint="33"/>
          </w:tcPr>
          <w:p w:rsidR="0021209A" w:rsidRPr="00B05D3E" w:rsidRDefault="0021209A" w:rsidP="00B1141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Abandonment of Position</w:t>
            </w:r>
          </w:p>
          <w:p w:rsidR="0021209A" w:rsidRPr="00B05D3E" w:rsidRDefault="0021209A" w:rsidP="00B1141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Conditions Not Met</w:t>
            </w:r>
          </w:p>
          <w:p w:rsidR="0021209A" w:rsidRPr="00B05D3E" w:rsidRDefault="0021209A" w:rsidP="00B1141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Death</w:t>
            </w:r>
          </w:p>
          <w:p w:rsidR="0021209A" w:rsidRPr="00B05D3E" w:rsidRDefault="0021209A" w:rsidP="00B1141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Disability – Involuntary</w:t>
            </w:r>
          </w:p>
          <w:p w:rsidR="0021209A" w:rsidRPr="00B05D3E" w:rsidRDefault="0021209A" w:rsidP="00B1141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Disability – Voluntary</w:t>
            </w:r>
          </w:p>
          <w:p w:rsidR="0021209A" w:rsidRPr="00B05D3E" w:rsidRDefault="0021209A" w:rsidP="00B1141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Dismissal</w:t>
            </w:r>
          </w:p>
          <w:p w:rsidR="0021209A" w:rsidRPr="00B05D3E" w:rsidRDefault="0021209A" w:rsidP="00B1141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End of Appointment</w:t>
            </w:r>
          </w:p>
          <w:p w:rsidR="0021209A" w:rsidRPr="00B05D3E" w:rsidRDefault="0021209A" w:rsidP="00B1141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General Government to Higher Ed</w:t>
            </w:r>
          </w:p>
          <w:p w:rsidR="0021209A" w:rsidRDefault="0021209A" w:rsidP="00B05D3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Layoff</w:t>
            </w:r>
          </w:p>
          <w:p w:rsidR="00B05D3E" w:rsidRPr="00B05D3E" w:rsidRDefault="00B05D3E" w:rsidP="00B05D3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Layoff – Voluntary</w:t>
            </w:r>
          </w:p>
        </w:tc>
        <w:tc>
          <w:tcPr>
            <w:tcW w:w="4230" w:type="dxa"/>
            <w:tcBorders>
              <w:left w:val="nil"/>
            </w:tcBorders>
            <w:shd w:val="clear" w:color="auto" w:fill="DAEEF3" w:themeFill="accent5" w:themeFillTint="33"/>
          </w:tcPr>
          <w:p w:rsidR="00B05D3E" w:rsidRDefault="00B05D3E" w:rsidP="00B05D3E">
            <w:pPr>
              <w:pStyle w:val="ListParagraph"/>
              <w:numPr>
                <w:ilvl w:val="0"/>
                <w:numId w:val="7"/>
              </w:numPr>
              <w:ind w:left="720"/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 xml:space="preserve">Non-Employee </w:t>
            </w:r>
          </w:p>
          <w:p w:rsidR="0021209A" w:rsidRPr="00B05D3E" w:rsidRDefault="0021209A" w:rsidP="00B05D3E">
            <w:pPr>
              <w:pStyle w:val="ListParagraph"/>
              <w:numPr>
                <w:ilvl w:val="0"/>
                <w:numId w:val="7"/>
              </w:numPr>
              <w:ind w:left="720"/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Resign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7"/>
              </w:numPr>
              <w:ind w:left="720"/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Retirement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7"/>
              </w:numPr>
              <w:ind w:left="720"/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Retirement – Incentive Pay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7"/>
              </w:numPr>
              <w:ind w:left="720"/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Reversion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7"/>
              </w:numPr>
              <w:ind w:left="720"/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Seasonal – Career Layoff 3-8 months</w:t>
            </w:r>
          </w:p>
          <w:p w:rsidR="0021209A" w:rsidRPr="00B05D3E" w:rsidRDefault="0021209A" w:rsidP="0021209A">
            <w:pPr>
              <w:pStyle w:val="ListParagraph"/>
              <w:numPr>
                <w:ilvl w:val="0"/>
                <w:numId w:val="7"/>
              </w:numPr>
              <w:ind w:left="720"/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Seasonal – Career Layoff 9+ months</w:t>
            </w:r>
          </w:p>
          <w:p w:rsidR="00B05D3E" w:rsidRDefault="0021209A" w:rsidP="0021209A">
            <w:pPr>
              <w:pStyle w:val="ListParagraph"/>
              <w:numPr>
                <w:ilvl w:val="0"/>
                <w:numId w:val="7"/>
              </w:numPr>
              <w:ind w:left="720"/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Settlement Pay</w:t>
            </w:r>
          </w:p>
          <w:p w:rsidR="0021209A" w:rsidRPr="00B05D3E" w:rsidRDefault="0021209A" w:rsidP="00B05D3E">
            <w:pPr>
              <w:pStyle w:val="ListParagraph"/>
              <w:numPr>
                <w:ilvl w:val="0"/>
                <w:numId w:val="7"/>
              </w:numPr>
              <w:ind w:left="720"/>
              <w:rPr>
                <w:sz w:val="20"/>
                <w:szCs w:val="20"/>
              </w:rPr>
            </w:pPr>
            <w:r w:rsidRPr="00B05D3E">
              <w:rPr>
                <w:sz w:val="20"/>
                <w:szCs w:val="20"/>
              </w:rPr>
              <w:t>Voluntary – Incentive Pay</w:t>
            </w:r>
          </w:p>
        </w:tc>
      </w:tr>
    </w:tbl>
    <w:p w:rsidR="00AC2668" w:rsidRPr="00221C29" w:rsidRDefault="00AC2668" w:rsidP="00B05D3E">
      <w:pPr>
        <w:spacing w:after="60" w:line="240" w:lineRule="auto"/>
        <w:rPr>
          <w:sz w:val="17"/>
          <w:szCs w:val="17"/>
        </w:rPr>
      </w:pPr>
    </w:p>
    <w:sectPr w:rsidR="00AC2668" w:rsidRPr="00221C29" w:rsidSect="00612E14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450" w:bottom="720" w:left="576" w:header="36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BB" w:rsidRDefault="002352BB" w:rsidP="00BB086B">
      <w:pPr>
        <w:spacing w:after="0" w:line="240" w:lineRule="auto"/>
      </w:pPr>
      <w:r>
        <w:separator/>
      </w:r>
    </w:p>
  </w:endnote>
  <w:endnote w:type="continuationSeparator" w:id="0">
    <w:p w:rsidR="002352BB" w:rsidRDefault="002352BB" w:rsidP="00BB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14" w:rsidRDefault="00612E14" w:rsidP="00612E14">
    <w:pPr>
      <w:pStyle w:val="Footer"/>
      <w:jc w:val="center"/>
    </w:pPr>
    <w:r w:rsidRPr="00B414AE">
      <w:rPr>
        <w:color w:val="FF0000"/>
        <w:sz w:val="16"/>
        <w:szCs w:val="16"/>
      </w:rPr>
      <w:t>**Send completed PPDS to the Small Agency Inbox at</w:t>
    </w:r>
    <w:r w:rsidRPr="00B414AE">
      <w:rPr>
        <w:color w:val="FF0000"/>
      </w:rPr>
      <w:t xml:space="preserve"> </w:t>
    </w:r>
    <w:r w:rsidRPr="00B414AE">
      <w:rPr>
        <w:color w:val="0000FF"/>
        <w:sz w:val="16"/>
        <w:szCs w:val="16"/>
        <w:u w:val="single"/>
      </w:rPr>
      <w:t>desmismallagencyassi@des.wa.gov</w:t>
    </w:r>
    <w:r w:rsidRPr="00B414AE">
      <w:rPr>
        <w:color w:val="FF0000"/>
        <w:sz w:val="16"/>
        <w:szCs w:val="16"/>
      </w:rPr>
      <w:t>**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14" w:rsidRDefault="00612E14" w:rsidP="00612E14">
    <w:pPr>
      <w:pStyle w:val="Footer"/>
      <w:jc w:val="center"/>
    </w:pPr>
    <w:r w:rsidRPr="00B414AE">
      <w:rPr>
        <w:color w:val="FF0000"/>
        <w:sz w:val="16"/>
        <w:szCs w:val="16"/>
      </w:rPr>
      <w:t>**Send completed PPDS to the Small Agency Inbox at</w:t>
    </w:r>
    <w:r w:rsidRPr="00B414AE">
      <w:rPr>
        <w:color w:val="FF0000"/>
      </w:rPr>
      <w:t xml:space="preserve"> </w:t>
    </w:r>
    <w:r w:rsidRPr="00B414AE">
      <w:rPr>
        <w:color w:val="0000FF"/>
        <w:sz w:val="16"/>
        <w:szCs w:val="16"/>
        <w:u w:val="single"/>
      </w:rPr>
      <w:t>desmismallagencyassi@des.wa.gov</w:t>
    </w:r>
    <w:r w:rsidRPr="00B414AE">
      <w:rPr>
        <w:color w:val="FF0000"/>
        <w:sz w:val="16"/>
        <w:szCs w:val="16"/>
      </w:rPr>
      <w:t>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BB" w:rsidRDefault="002352BB" w:rsidP="00BB086B">
      <w:pPr>
        <w:spacing w:after="0" w:line="240" w:lineRule="auto"/>
      </w:pPr>
      <w:r>
        <w:separator/>
      </w:r>
    </w:p>
  </w:footnote>
  <w:footnote w:type="continuationSeparator" w:id="0">
    <w:p w:rsidR="002352BB" w:rsidRDefault="002352BB" w:rsidP="00BB0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D3E" w:rsidRPr="00BB086B" w:rsidRDefault="00B05D3E" w:rsidP="00B05D3E">
    <w:pPr>
      <w:pStyle w:val="Header"/>
      <w:jc w:val="center"/>
      <w:rPr>
        <w:b/>
      </w:rPr>
    </w:pPr>
    <w:r>
      <w:rPr>
        <w:b/>
      </w:rPr>
      <w:t>PPDS Action Type-Reason Chart</w:t>
    </w:r>
  </w:p>
  <w:p w:rsidR="00B05D3E" w:rsidRDefault="00B05D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C9" w:rsidRPr="00BB086B" w:rsidRDefault="005B7DC9" w:rsidP="005B7DC9">
    <w:pPr>
      <w:pStyle w:val="Header"/>
      <w:jc w:val="center"/>
      <w:rPr>
        <w:b/>
      </w:rPr>
    </w:pPr>
    <w:r>
      <w:rPr>
        <w:b/>
      </w:rPr>
      <w:t>PPDS Action Type-Reason Chart</w:t>
    </w:r>
  </w:p>
  <w:p w:rsidR="005B7DC9" w:rsidRDefault="005B7D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2C8"/>
    <w:multiLevelType w:val="hybridMultilevel"/>
    <w:tmpl w:val="283270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997354"/>
    <w:multiLevelType w:val="hybridMultilevel"/>
    <w:tmpl w:val="4F0AB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B3630"/>
    <w:multiLevelType w:val="hybridMultilevel"/>
    <w:tmpl w:val="85FEFB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120469"/>
    <w:multiLevelType w:val="hybridMultilevel"/>
    <w:tmpl w:val="B0EA8E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F74F73"/>
    <w:multiLevelType w:val="hybridMultilevel"/>
    <w:tmpl w:val="54E8D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D2193A"/>
    <w:multiLevelType w:val="hybridMultilevel"/>
    <w:tmpl w:val="F8A2EB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910659"/>
    <w:multiLevelType w:val="hybridMultilevel"/>
    <w:tmpl w:val="87AC4D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906BFE"/>
    <w:multiLevelType w:val="hybridMultilevel"/>
    <w:tmpl w:val="DE88AE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B7E49"/>
    <w:multiLevelType w:val="hybridMultilevel"/>
    <w:tmpl w:val="6E3EB9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D976A5"/>
    <w:multiLevelType w:val="hybridMultilevel"/>
    <w:tmpl w:val="C0949A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F911DF"/>
    <w:multiLevelType w:val="hybridMultilevel"/>
    <w:tmpl w:val="8C7E41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3D46A8"/>
    <w:multiLevelType w:val="hybridMultilevel"/>
    <w:tmpl w:val="D25CC5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6449A4"/>
    <w:multiLevelType w:val="hybridMultilevel"/>
    <w:tmpl w:val="983EEB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E40FFC"/>
    <w:multiLevelType w:val="hybridMultilevel"/>
    <w:tmpl w:val="B23AD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E22349"/>
    <w:multiLevelType w:val="hybridMultilevel"/>
    <w:tmpl w:val="B9AEC2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B46C72"/>
    <w:multiLevelType w:val="hybridMultilevel"/>
    <w:tmpl w:val="9754E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D164A0"/>
    <w:multiLevelType w:val="hybridMultilevel"/>
    <w:tmpl w:val="381621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5073AE"/>
    <w:multiLevelType w:val="hybridMultilevel"/>
    <w:tmpl w:val="359867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"/>
  </w:num>
  <w:num w:numId="5">
    <w:abstractNumId w:val="17"/>
  </w:num>
  <w:num w:numId="6">
    <w:abstractNumId w:val="10"/>
  </w:num>
  <w:num w:numId="7">
    <w:abstractNumId w:val="15"/>
  </w:num>
  <w:num w:numId="8">
    <w:abstractNumId w:val="6"/>
  </w:num>
  <w:num w:numId="9">
    <w:abstractNumId w:val="4"/>
  </w:num>
  <w:num w:numId="10">
    <w:abstractNumId w:val="13"/>
  </w:num>
  <w:num w:numId="11">
    <w:abstractNumId w:val="2"/>
  </w:num>
  <w:num w:numId="12">
    <w:abstractNumId w:val="5"/>
  </w:num>
  <w:num w:numId="13">
    <w:abstractNumId w:val="3"/>
  </w:num>
  <w:num w:numId="14">
    <w:abstractNumId w:val="12"/>
  </w:num>
  <w:num w:numId="15">
    <w:abstractNumId w:val="7"/>
  </w:num>
  <w:num w:numId="16">
    <w:abstractNumId w:val="9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0BeVTmz/LKqLjXH1AqM4uzZjJMk=" w:salt="BZppgiXH3/fWQnH0YLybQ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46"/>
    <w:rsid w:val="000E7C3E"/>
    <w:rsid w:val="0015215E"/>
    <w:rsid w:val="001F2549"/>
    <w:rsid w:val="0021209A"/>
    <w:rsid w:val="00221C29"/>
    <w:rsid w:val="002352BB"/>
    <w:rsid w:val="0028673E"/>
    <w:rsid w:val="00305DC2"/>
    <w:rsid w:val="003A731D"/>
    <w:rsid w:val="004133E1"/>
    <w:rsid w:val="00462163"/>
    <w:rsid w:val="0049578B"/>
    <w:rsid w:val="004D1433"/>
    <w:rsid w:val="005B7DC9"/>
    <w:rsid w:val="005C5C77"/>
    <w:rsid w:val="00612E14"/>
    <w:rsid w:val="0072311C"/>
    <w:rsid w:val="007F3A5A"/>
    <w:rsid w:val="008C6004"/>
    <w:rsid w:val="00A15A32"/>
    <w:rsid w:val="00A36910"/>
    <w:rsid w:val="00AC2668"/>
    <w:rsid w:val="00B05D3E"/>
    <w:rsid w:val="00BA1EFB"/>
    <w:rsid w:val="00BB086B"/>
    <w:rsid w:val="00BF464B"/>
    <w:rsid w:val="00C27B95"/>
    <w:rsid w:val="00C34113"/>
    <w:rsid w:val="00CB0B0C"/>
    <w:rsid w:val="00CB3041"/>
    <w:rsid w:val="00CE78AC"/>
    <w:rsid w:val="00DD6E60"/>
    <w:rsid w:val="00E7382B"/>
    <w:rsid w:val="00E973BC"/>
    <w:rsid w:val="00ED01A3"/>
    <w:rsid w:val="00F3021B"/>
    <w:rsid w:val="00F447BA"/>
    <w:rsid w:val="00F60759"/>
    <w:rsid w:val="00F7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8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6B"/>
  </w:style>
  <w:style w:type="paragraph" w:styleId="Footer">
    <w:name w:val="footer"/>
    <w:basedOn w:val="Normal"/>
    <w:link w:val="FooterChar"/>
    <w:uiPriority w:val="99"/>
    <w:unhideWhenUsed/>
    <w:rsid w:val="00BB0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8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6B"/>
  </w:style>
  <w:style w:type="paragraph" w:styleId="Footer">
    <w:name w:val="footer"/>
    <w:basedOn w:val="Normal"/>
    <w:link w:val="FooterChar"/>
    <w:uiPriority w:val="99"/>
    <w:unhideWhenUsed/>
    <w:rsid w:val="00BB0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417d0c62ca7cc7340a780b8273b09c1b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2ceb868e2ba9563f7e35cb39d6fa7c3a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EWUPACEUPKES-170-9292</_dlc_DocId>
    <_dlc_DocIdUrl xmlns="ab5d7b00-834a-4efe-8968-9d97478a3691">
      <Url>http://stage-des/_layouts/DocIdRedir.aspx?ID=EWUPACEUPKES-170-9292</Url>
      <Description>EWUPACEUPKES-170-9292</Description>
    </_dlc_DocIdUrl>
  </documentManagement>
</p:properties>
</file>

<file path=customXml/itemProps1.xml><?xml version="1.0" encoding="utf-8"?>
<ds:datastoreItem xmlns:ds="http://schemas.openxmlformats.org/officeDocument/2006/customXml" ds:itemID="{E434A2DC-EA92-43F2-8A82-80CEA94476D7}"/>
</file>

<file path=customXml/itemProps2.xml><?xml version="1.0" encoding="utf-8"?>
<ds:datastoreItem xmlns:ds="http://schemas.openxmlformats.org/officeDocument/2006/customXml" ds:itemID="{509406A2-3BDD-4F3B-B7CC-978F353B7186}"/>
</file>

<file path=customXml/itemProps3.xml><?xml version="1.0" encoding="utf-8"?>
<ds:datastoreItem xmlns:ds="http://schemas.openxmlformats.org/officeDocument/2006/customXml" ds:itemID="{49CEB911-B06A-4F05-93E3-F5E571537282}"/>
</file>

<file path=customXml/itemProps4.xml><?xml version="1.0" encoding="utf-8"?>
<ds:datastoreItem xmlns:ds="http://schemas.openxmlformats.org/officeDocument/2006/customXml" ds:itemID="{72B65DF7-22A7-438A-B580-4A6EA6D1DA28}"/>
</file>

<file path=customXml/itemProps5.xml><?xml version="1.0" encoding="utf-8"?>
<ds:datastoreItem xmlns:ds="http://schemas.openxmlformats.org/officeDocument/2006/customXml" ds:itemID="{85855633-0109-4344-BA65-8E5EEDD3F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Kiser, Casey (DES)</dc:creator>
  <cp:lastModifiedBy>Kiser, Casey (DES)</cp:lastModifiedBy>
  <cp:revision>13</cp:revision>
  <dcterms:created xsi:type="dcterms:W3CDTF">2015-04-29T15:40:00Z</dcterms:created>
  <dcterms:modified xsi:type="dcterms:W3CDTF">2015-06-03T18:04:00Z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57e54711-4804-4700-bb9e-36108c1957cc</vt:lpwstr>
  </property>
</Properties>
</file>